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2D9B07" w14:textId="32CF8A72" w:rsidR="00A02CDE" w:rsidRPr="000A65E4" w:rsidRDefault="002249C8" w:rsidP="000A65E4">
      <w:pPr>
        <w:pStyle w:val="Heading1"/>
        <w:tabs>
          <w:tab w:val="left" w:pos="2125"/>
          <w:tab w:val="left" w:pos="10377"/>
        </w:tabs>
        <w:spacing w:before="57"/>
      </w:pPr>
      <w:r>
        <w:tab/>
        <w:t>September</w:t>
      </w:r>
      <w:r>
        <w:rPr>
          <w:spacing w:val="-1"/>
        </w:rPr>
        <w:t xml:space="preserve"> </w:t>
      </w:r>
      <w:r>
        <w:t>14-16,</w:t>
      </w:r>
      <w:r>
        <w:rPr>
          <w:spacing w:val="-1"/>
        </w:rPr>
        <w:t xml:space="preserve"> </w:t>
      </w:r>
      <w:r>
        <w:t>2023,</w:t>
      </w:r>
      <w:r>
        <w:rPr>
          <w:spacing w:val="53"/>
        </w:rPr>
        <w:t xml:space="preserve"> </w:t>
      </w:r>
      <w:r>
        <w:t>Institute</w:t>
      </w:r>
      <w:r>
        <w:rPr>
          <w:spacing w:val="-1"/>
        </w:rPr>
        <w:t xml:space="preserve"> </w:t>
      </w:r>
      <w:r>
        <w:t>of</w:t>
      </w:r>
      <w:r>
        <w:rPr>
          <w:spacing w:val="-1"/>
        </w:rPr>
        <w:t xml:space="preserve"> </w:t>
      </w:r>
      <w:r>
        <w:t>Chemical</w:t>
      </w:r>
      <w:r>
        <w:rPr>
          <w:spacing w:val="-1"/>
        </w:rPr>
        <w:t xml:space="preserve"> </w:t>
      </w:r>
      <w:r>
        <w:t>Technology,</w:t>
      </w:r>
      <w:r>
        <w:rPr>
          <w:spacing w:val="-1"/>
        </w:rPr>
        <w:t xml:space="preserve"> </w:t>
      </w:r>
      <w:r>
        <w:rPr>
          <w:spacing w:val="-2"/>
        </w:rPr>
        <w:t>Mumbai</w:t>
      </w:r>
      <w:r>
        <w:tab/>
      </w:r>
    </w:p>
    <w:p w14:paraId="73858694" w14:textId="09261FFA" w:rsidR="002B47FA" w:rsidRPr="002B47FA" w:rsidRDefault="002B47FA" w:rsidP="002B47FA">
      <w:pPr>
        <w:spacing w:before="117" w:line="321" w:lineRule="exact"/>
        <w:jc w:val="center"/>
        <w:rPr>
          <w:bCs/>
          <w:iCs/>
          <w:sz w:val="28"/>
        </w:rPr>
      </w:pPr>
      <w:r w:rsidRPr="002B47FA">
        <w:rPr>
          <w:bCs/>
          <w:sz w:val="28"/>
        </w:rPr>
        <w:t xml:space="preserve">Extraction of phenolics from </w:t>
      </w:r>
      <w:r w:rsidRPr="002B47FA">
        <w:rPr>
          <w:bCs/>
          <w:i/>
          <w:iCs/>
          <w:sz w:val="28"/>
        </w:rPr>
        <w:t>Spilanthes Acmella</w:t>
      </w:r>
      <w:r w:rsidRPr="002B47FA">
        <w:rPr>
          <w:bCs/>
          <w:iCs/>
          <w:sz w:val="28"/>
        </w:rPr>
        <w:t>: Kinetic studies using Peleg’s model</w:t>
      </w:r>
    </w:p>
    <w:p w14:paraId="5683400F" w14:textId="77B1319D" w:rsidR="00A02CDE" w:rsidRDefault="002B47FA">
      <w:pPr>
        <w:spacing w:line="275" w:lineRule="exact"/>
        <w:ind w:left="4"/>
        <w:jc w:val="center"/>
        <w:rPr>
          <w:sz w:val="24"/>
        </w:rPr>
      </w:pPr>
      <w:r>
        <w:rPr>
          <w:sz w:val="24"/>
          <w:u w:val="single"/>
        </w:rPr>
        <w:t>Nitin T. Satao</w:t>
      </w:r>
      <w:r w:rsidR="002249C8">
        <w:rPr>
          <w:sz w:val="24"/>
        </w:rPr>
        <w:t>,</w:t>
      </w:r>
      <w:r w:rsidR="002249C8">
        <w:rPr>
          <w:spacing w:val="-2"/>
          <w:sz w:val="24"/>
        </w:rPr>
        <w:t xml:space="preserve"> </w:t>
      </w:r>
      <w:r>
        <w:rPr>
          <w:spacing w:val="-2"/>
          <w:sz w:val="24"/>
        </w:rPr>
        <w:t>Komal V. Mahindrakar</w:t>
      </w:r>
      <w:r w:rsidR="002249C8">
        <w:rPr>
          <w:sz w:val="24"/>
        </w:rPr>
        <w:t>,</w:t>
      </w:r>
      <w:r w:rsidR="002249C8">
        <w:rPr>
          <w:spacing w:val="-2"/>
          <w:sz w:val="24"/>
        </w:rPr>
        <w:t xml:space="preserve"> </w:t>
      </w:r>
      <w:r>
        <w:rPr>
          <w:spacing w:val="-2"/>
          <w:sz w:val="24"/>
        </w:rPr>
        <w:t>Virendra K. Rathod</w:t>
      </w:r>
      <w:r w:rsidR="002249C8">
        <w:rPr>
          <w:sz w:val="24"/>
          <w:vertAlign w:val="superscript"/>
        </w:rPr>
        <w:t>1</w:t>
      </w:r>
      <w:r w:rsidR="002249C8">
        <w:rPr>
          <w:spacing w:val="-1"/>
          <w:sz w:val="24"/>
        </w:rPr>
        <w:t xml:space="preserve"> </w:t>
      </w:r>
    </w:p>
    <w:p w14:paraId="043D668E" w14:textId="77777777" w:rsidR="00A02CDE" w:rsidRDefault="00A02CDE">
      <w:pPr>
        <w:pStyle w:val="BodyText"/>
        <w:spacing w:before="8"/>
        <w:rPr>
          <w:sz w:val="13"/>
        </w:rPr>
      </w:pPr>
    </w:p>
    <w:p w14:paraId="519611E7" w14:textId="04737F06" w:rsidR="002B6C49" w:rsidRPr="002B6C49" w:rsidRDefault="002249C8" w:rsidP="002B6C49">
      <w:pPr>
        <w:pStyle w:val="BodyText"/>
        <w:spacing w:before="120"/>
        <w:ind w:right="1260" w:firstLine="720"/>
        <w:rPr>
          <w:bCs/>
        </w:rPr>
      </w:pPr>
      <w:r>
        <w:rPr>
          <w:vertAlign w:val="superscript"/>
        </w:rPr>
        <w:t>1</w:t>
      </w:r>
      <w:r w:rsidR="002B6C49">
        <w:t>Department of Chemical Engineering,</w:t>
      </w:r>
      <w:r w:rsidR="002B6C49" w:rsidRPr="002B6C49">
        <w:rPr>
          <w:rFonts w:eastAsiaTheme="minorHAnsi"/>
          <w:sz w:val="24"/>
          <w:szCs w:val="24"/>
        </w:rPr>
        <w:t xml:space="preserve"> </w:t>
      </w:r>
      <w:r w:rsidR="002B6C49" w:rsidRPr="002B6C49">
        <w:t xml:space="preserve">Institute of Chemical Technology, </w:t>
      </w:r>
      <w:r w:rsidR="002B6C49">
        <w:t>Matunga</w:t>
      </w:r>
      <w:r w:rsidR="002B6C49" w:rsidRPr="002B6C49">
        <w:t xml:space="preserve"> (E), Mumbai-400019.</w:t>
      </w:r>
    </w:p>
    <w:p w14:paraId="429406AA" w14:textId="1397ECF6" w:rsidR="00A02CDE" w:rsidRDefault="002249C8">
      <w:pPr>
        <w:pStyle w:val="BodyText"/>
        <w:spacing w:before="120"/>
        <w:ind w:left="1256" w:right="1260"/>
        <w:jc w:val="center"/>
      </w:pPr>
      <w:r>
        <w:t xml:space="preserve">E-mail address: </w:t>
      </w:r>
      <w:hyperlink r:id="rId8" w:history="1">
        <w:r w:rsidR="002B6C49" w:rsidRPr="002B6C49">
          <w:rPr>
            <w:rStyle w:val="Hyperlink"/>
          </w:rPr>
          <w:t>vk.rathod@ictmumbai.edu.in</w:t>
        </w:r>
      </w:hyperlink>
    </w:p>
    <w:p w14:paraId="43D0809F" w14:textId="77777777" w:rsidR="00A02CDE" w:rsidRDefault="00FF6F01">
      <w:pPr>
        <w:pStyle w:val="BodyText"/>
        <w:spacing w:before="3"/>
      </w:pPr>
      <w:r>
        <w:pict w14:anchorId="6F0CBA07">
          <v:rect id="docshape3" o:spid="_x0000_s1078" style="position:absolute;margin-left:46.8pt;margin-top:12.9pt;width:518.65pt;height:.7pt;z-index:-15728640;mso-wrap-distance-left:0;mso-wrap-distance-right:0;mso-position-horizontal-relative:page" fillcolor="black" stroked="f">
            <w10:wrap type="topAndBottom" anchorx="page"/>
          </v:rect>
        </w:pict>
      </w:r>
    </w:p>
    <w:p w14:paraId="30E33DF0" w14:textId="77777777" w:rsidR="00A02CDE" w:rsidRDefault="00A02CDE">
      <w:pPr>
        <w:pStyle w:val="BodyText"/>
        <w:spacing w:before="11"/>
        <w:rPr>
          <w:sz w:val="11"/>
        </w:rPr>
      </w:pPr>
    </w:p>
    <w:p w14:paraId="18CBE26D" w14:textId="77777777" w:rsidR="00A02CDE" w:rsidRPr="0087647D" w:rsidRDefault="002249C8">
      <w:pPr>
        <w:pStyle w:val="Heading2"/>
        <w:numPr>
          <w:ilvl w:val="0"/>
          <w:numId w:val="2"/>
        </w:numPr>
        <w:tabs>
          <w:tab w:val="left" w:pos="346"/>
        </w:tabs>
        <w:spacing w:before="91"/>
        <w:ind w:hanging="202"/>
      </w:pPr>
      <w:r>
        <w:rPr>
          <w:spacing w:val="-2"/>
        </w:rPr>
        <w:t>Introduction:</w:t>
      </w:r>
    </w:p>
    <w:p w14:paraId="5FBE964D" w14:textId="789F1639" w:rsidR="0087647D" w:rsidRPr="0087647D" w:rsidRDefault="0087647D" w:rsidP="000A65E4">
      <w:pPr>
        <w:pStyle w:val="BodyText"/>
        <w:spacing w:before="111" w:line="360" w:lineRule="auto"/>
        <w:ind w:left="143" w:right="148"/>
        <w:rPr>
          <w:iCs/>
          <w:lang w:val="en-IN"/>
        </w:rPr>
      </w:pPr>
      <w:r w:rsidRPr="0087647D">
        <w:rPr>
          <w:iCs/>
          <w:lang w:val="en-IN"/>
        </w:rPr>
        <w:t xml:space="preserve">Spilanthes Acmella (SA), also known as "Akkarkara" or "toothache plant," </w:t>
      </w:r>
      <w:r w:rsidR="00287B61" w:rsidRPr="0087647D">
        <w:rPr>
          <w:iCs/>
          <w:lang w:val="en-IN"/>
        </w:rPr>
        <w:t>belonging to the Asteraceae family</w:t>
      </w:r>
      <w:r w:rsidR="00287B61">
        <w:rPr>
          <w:iCs/>
          <w:lang w:val="en-IN"/>
        </w:rPr>
        <w:t>,</w:t>
      </w:r>
      <w:r w:rsidR="00287B61" w:rsidRPr="0087647D">
        <w:rPr>
          <w:iCs/>
          <w:lang w:val="en-IN"/>
        </w:rPr>
        <w:t xml:space="preserve"> </w:t>
      </w:r>
      <w:r w:rsidRPr="0087647D">
        <w:rPr>
          <w:iCs/>
          <w:lang w:val="en-IN"/>
        </w:rPr>
        <w:t xml:space="preserve">is a </w:t>
      </w:r>
      <w:r w:rsidR="00287B61">
        <w:rPr>
          <w:iCs/>
          <w:lang w:val="en-IN"/>
        </w:rPr>
        <w:t>valuable</w:t>
      </w:r>
      <w:r w:rsidRPr="0087647D">
        <w:rPr>
          <w:iCs/>
          <w:lang w:val="en-IN"/>
        </w:rPr>
        <w:t xml:space="preserve"> medicinal herb found in tropical </w:t>
      </w:r>
      <w:r w:rsidR="00287B61">
        <w:rPr>
          <w:iCs/>
          <w:lang w:val="en-IN"/>
        </w:rPr>
        <w:t xml:space="preserve">regions. </w:t>
      </w:r>
      <w:r w:rsidRPr="0087647D">
        <w:rPr>
          <w:iCs/>
          <w:lang w:val="en-IN"/>
        </w:rPr>
        <w:t>The phenolics present in the plant have widespread applications in the pharmaceutical, food, and personal care industries. However, th</w:t>
      </w:r>
      <w:r w:rsidR="00287B61">
        <w:rPr>
          <w:iCs/>
          <w:lang w:val="en-IN"/>
        </w:rPr>
        <w:t>e</w:t>
      </w:r>
      <w:r w:rsidRPr="0087647D">
        <w:rPr>
          <w:iCs/>
          <w:lang w:val="en-IN"/>
        </w:rPr>
        <w:t xml:space="preserve"> low concentration</w:t>
      </w:r>
      <w:r w:rsidR="00287B61">
        <w:rPr>
          <w:iCs/>
          <w:lang w:val="en-IN"/>
        </w:rPr>
        <w:t xml:space="preserve"> of phenolics in plant material </w:t>
      </w:r>
      <w:r w:rsidRPr="0087647D">
        <w:rPr>
          <w:iCs/>
          <w:lang w:val="en-IN"/>
        </w:rPr>
        <w:t>requires the development of a suitable extraction method utilizing chemical engineering tools. This study aims to standardize an extraction technique and investigate the impact of various extraction parameters on the yield of phenolic extracts. By employing batch extraction and Peleg's model to explore extraction kinetics, we aim to obtain consistent, high-quality phenolic extracts.</w:t>
      </w:r>
      <w:r w:rsidR="009F1E88">
        <w:rPr>
          <w:iCs/>
          <w:lang w:val="en-IN"/>
        </w:rPr>
        <w:fldChar w:fldCharType="begin" w:fldLock="1"/>
      </w:r>
      <w:r w:rsidR="009F1E88">
        <w:rPr>
          <w:iCs/>
          <w:lang w:val="en-IN"/>
        </w:rPr>
        <w:instrText>ADDIN CSL_CITATION {"citationItems":[{"id":"ITEM-1","itemData":{"DOI":"10.1007/s11627-008-9184-4","ISSN":"10545476","abstract":"Micropropagation has been achieved in a promising larvicidal asteraceous taxon Spilanthes acmella L. using seedling leaf explants. The explants were reared on a variety of growth regulators, namely 2,4-dichlorophenoxyacetic acid, 1-naphthalene acetic acid, Indole-3-butyric acid, N6-benzyladenine, and kinetin either alone or in combination on Murashige and Skoog's (MS) medium. The best green and compact callus was obtained on 1 μM NAA and 10 μM benzyladenine (BA) in 15 d. The callus on subculture to the same but fresh medium after every 30 differentiated an average of 12.90 ± 0.32 shoot buds in 50% cultures. Elongation in shoot buds occurred only if they were transferred to NAA lacking MS+BA medium. An average number of 4.22 ± 0.83 shoots and 15 ± 0.84 shoot buds per explant were obtained in 70.3% cultures on MS + 10 μM BA in 30 d. One hundred percent excised shoots rooted in MS(1/2) + 0.1 μM IBA within 2 wk. The plants were gradually hardened and established in soil where they flowered and set viable seeds. The regenerated plants were morphologically similar to the field grown plants and showed 100% larvicidal activity against malaria and filarial vectors. © The Society for In Vitro Biology 2009.","author":[{"dropping-particle":"","family":"Pandey","given":"Vibha","non-dropping-particle":"","parse-names":false,"suffix":""},{"dropping-particle":"","family":"Agrawal","given":"Veena","non-dropping-particle":"","parse-names":false,"suffix":""}],"container-title":"In Vitro Cellular and Developmental Biology - Plant","id":"ITEM-1","issue":"4","issued":{"date-parts":[["2009","7"]]},"page":"491-499","title":"Efficient micropropagation protocol of spilanthes acmella L. possessing strong antimalarial activity","type":"article-journal","volume":"45"},"uris":["http://www.mendeley.com/documents/?uuid=e280d9db-af9b-3c11-a746-e5382bb9486f"]}],"mendeley":{"formattedCitation":"[1]","plainTextFormattedCitation":"[1]","previouslyFormattedCitation":"[1]"},"properties":{"noteIndex":0},"schema":"https://github.com/citation-style-language/schema/raw/master/csl-citation.json"}</w:instrText>
      </w:r>
      <w:r w:rsidR="009F1E88">
        <w:rPr>
          <w:iCs/>
          <w:lang w:val="en-IN"/>
        </w:rPr>
        <w:fldChar w:fldCharType="separate"/>
      </w:r>
      <w:r w:rsidR="009F1E88" w:rsidRPr="009F1E88">
        <w:rPr>
          <w:iCs/>
          <w:noProof/>
          <w:lang w:val="en-IN"/>
        </w:rPr>
        <w:t>[1]</w:t>
      </w:r>
      <w:r w:rsidR="009F1E88">
        <w:rPr>
          <w:iCs/>
          <w:lang w:val="en-IN"/>
        </w:rPr>
        <w:fldChar w:fldCharType="end"/>
      </w:r>
      <w:r w:rsidR="009347FC" w:rsidRPr="0087647D">
        <w:rPr>
          <w:iCs/>
          <w:lang w:val="en-IN"/>
        </w:rPr>
        <w:t xml:space="preserve"> </w:t>
      </w:r>
    </w:p>
    <w:p w14:paraId="3499F13B" w14:textId="77777777" w:rsidR="0087647D" w:rsidRDefault="0087647D" w:rsidP="0087647D">
      <w:pPr>
        <w:pStyle w:val="Heading2"/>
        <w:tabs>
          <w:tab w:val="left" w:pos="346"/>
        </w:tabs>
        <w:spacing w:before="91"/>
        <w:ind w:left="345" w:firstLine="0"/>
        <w:jc w:val="left"/>
      </w:pPr>
    </w:p>
    <w:p w14:paraId="6327BBCF" w14:textId="22B00C33" w:rsidR="00A02CDE" w:rsidRDefault="002249C8">
      <w:pPr>
        <w:pStyle w:val="Heading2"/>
        <w:numPr>
          <w:ilvl w:val="0"/>
          <w:numId w:val="2"/>
        </w:numPr>
        <w:tabs>
          <w:tab w:val="left" w:pos="344"/>
        </w:tabs>
        <w:ind w:left="343" w:hanging="200"/>
      </w:pPr>
      <w:r>
        <w:t>Material</w:t>
      </w:r>
      <w:r>
        <w:rPr>
          <w:spacing w:val="-6"/>
        </w:rPr>
        <w:t xml:space="preserve"> </w:t>
      </w:r>
      <w:r>
        <w:t>and</w:t>
      </w:r>
      <w:r>
        <w:rPr>
          <w:spacing w:val="-7"/>
        </w:rPr>
        <w:t xml:space="preserve"> </w:t>
      </w:r>
      <w:r>
        <w:rPr>
          <w:spacing w:val="-2"/>
        </w:rPr>
        <w:t>Methods:</w:t>
      </w:r>
    </w:p>
    <w:p w14:paraId="027613B5" w14:textId="7BCFF4B8" w:rsidR="005C7A10" w:rsidRPr="0087647D" w:rsidRDefault="005C7A10" w:rsidP="005C7A10">
      <w:pPr>
        <w:pStyle w:val="BodyText"/>
        <w:spacing w:before="111" w:line="360" w:lineRule="auto"/>
        <w:ind w:left="144" w:right="148"/>
        <w:rPr>
          <w:bCs/>
          <w:i/>
        </w:rPr>
      </w:pPr>
      <w:r w:rsidRPr="0087647D">
        <w:rPr>
          <w:bCs/>
          <w:i/>
        </w:rPr>
        <w:t>2.1. Materials</w:t>
      </w:r>
    </w:p>
    <w:p w14:paraId="06DEC519" w14:textId="3854A324" w:rsidR="005C7A10" w:rsidRPr="005C7A10" w:rsidRDefault="005C7A10" w:rsidP="005C7A10">
      <w:pPr>
        <w:pStyle w:val="BodyText"/>
        <w:spacing w:before="111" w:line="360" w:lineRule="auto"/>
        <w:ind w:left="144" w:right="148"/>
        <w:rPr>
          <w:iCs/>
          <w:lang w:val="en-IN"/>
        </w:rPr>
      </w:pPr>
      <w:r>
        <w:rPr>
          <w:iCs/>
          <w:lang w:val="en-IN"/>
        </w:rPr>
        <w:t>The dried f</w:t>
      </w:r>
      <w:r w:rsidRPr="005C7A10">
        <w:rPr>
          <w:iCs/>
          <w:lang w:val="en-IN"/>
        </w:rPr>
        <w:t>lowers of Spilanthes Acmella were procured</w:t>
      </w:r>
      <w:r>
        <w:rPr>
          <w:iCs/>
          <w:lang w:val="en-IN"/>
        </w:rPr>
        <w:t>, and residual moisture was removed in the oven and ground to powdered form</w:t>
      </w:r>
      <w:r w:rsidRPr="005C7A10">
        <w:rPr>
          <w:iCs/>
          <w:lang w:val="en-IN"/>
        </w:rPr>
        <w:t xml:space="preserve">. </w:t>
      </w:r>
      <w:r w:rsidR="00204E7E">
        <w:rPr>
          <w:iCs/>
          <w:lang w:val="en-IN"/>
        </w:rPr>
        <w:t xml:space="preserve">AR-grade </w:t>
      </w:r>
      <w:r w:rsidRPr="005C7A10">
        <w:rPr>
          <w:iCs/>
          <w:lang w:val="en-IN"/>
        </w:rPr>
        <w:t>extracting solvents</w:t>
      </w:r>
      <w:r w:rsidR="00204E7E">
        <w:rPr>
          <w:iCs/>
          <w:lang w:val="en-IN"/>
        </w:rPr>
        <w:t>,</w:t>
      </w:r>
      <w:r w:rsidRPr="005C7A10">
        <w:rPr>
          <w:iCs/>
          <w:lang w:val="en-IN"/>
        </w:rPr>
        <w:t xml:space="preserve"> </w:t>
      </w:r>
      <w:r w:rsidR="00204E7E" w:rsidRPr="005C7A10">
        <w:rPr>
          <w:iCs/>
          <w:lang w:val="en-IN"/>
        </w:rPr>
        <w:t xml:space="preserve">standard Gallic acid, sodium carbonate, and Folin - Ciocalteu’s phenol reagent were purchased </w:t>
      </w:r>
      <w:r w:rsidR="00204E7E">
        <w:rPr>
          <w:iCs/>
          <w:lang w:val="en-IN"/>
        </w:rPr>
        <w:t>and d</w:t>
      </w:r>
      <w:r w:rsidRPr="005C7A10">
        <w:rPr>
          <w:iCs/>
          <w:lang w:val="en-IN"/>
        </w:rPr>
        <w:t>eionized water was taken from the DI water plant, ICT, Mumbai.</w:t>
      </w:r>
    </w:p>
    <w:p w14:paraId="2B3C085B" w14:textId="77777777" w:rsidR="005C7A10" w:rsidRPr="0087647D" w:rsidRDefault="005C7A10" w:rsidP="005C7A10">
      <w:pPr>
        <w:pStyle w:val="BodyText"/>
        <w:spacing w:before="111" w:line="360" w:lineRule="auto"/>
        <w:ind w:left="144" w:right="148"/>
        <w:rPr>
          <w:bCs/>
          <w:i/>
          <w:iCs/>
        </w:rPr>
      </w:pPr>
      <w:r w:rsidRPr="0087647D">
        <w:rPr>
          <w:bCs/>
          <w:i/>
          <w:iCs/>
        </w:rPr>
        <w:t>2.2. Experimental work</w:t>
      </w:r>
    </w:p>
    <w:p w14:paraId="39196557" w14:textId="77777777" w:rsidR="005C7A10" w:rsidRPr="00942CD9" w:rsidRDefault="005C7A10" w:rsidP="005C7A10">
      <w:pPr>
        <w:pStyle w:val="BodyText"/>
        <w:spacing w:before="111" w:line="360" w:lineRule="auto"/>
        <w:ind w:left="144" w:right="148"/>
        <w:rPr>
          <w:bCs/>
          <w:i/>
          <w:iCs/>
        </w:rPr>
      </w:pPr>
      <w:r w:rsidRPr="00942CD9">
        <w:rPr>
          <w:bCs/>
          <w:i/>
          <w:iCs/>
        </w:rPr>
        <w:t>2.2.1 Soxhlet extraction</w:t>
      </w:r>
      <w:bookmarkStart w:id="0" w:name="_GoBack"/>
      <w:bookmarkEnd w:id="0"/>
    </w:p>
    <w:p w14:paraId="6CD2D43B" w14:textId="77777777" w:rsidR="004B3ECB" w:rsidRDefault="004B3ECB" w:rsidP="004B3ECB">
      <w:pPr>
        <w:pStyle w:val="BodyText"/>
        <w:spacing w:before="111" w:line="360" w:lineRule="auto"/>
        <w:ind w:left="142" w:right="147"/>
        <w:rPr>
          <w:lang w:val="en-IN"/>
        </w:rPr>
      </w:pPr>
      <w:r w:rsidRPr="004B3ECB">
        <w:rPr>
          <w:lang w:val="en-IN"/>
        </w:rPr>
        <w:t xml:space="preserve">In Soxhlet extraction, a 1 gm sample of SA powder was taken in a thimble and extracted continuously with water as a solvent for </w:t>
      </w:r>
      <w:r>
        <w:rPr>
          <w:lang w:val="en-IN"/>
        </w:rPr>
        <w:t>5</w:t>
      </w:r>
      <w:r w:rsidRPr="004B3ECB">
        <w:rPr>
          <w:lang w:val="en-IN"/>
        </w:rPr>
        <w:t xml:space="preserve"> hours.</w:t>
      </w:r>
      <w:r>
        <w:rPr>
          <w:lang w:val="en-IN"/>
        </w:rPr>
        <w:t xml:space="preserve"> </w:t>
      </w:r>
      <w:r w:rsidR="005C7A10" w:rsidRPr="005C7A10">
        <w:rPr>
          <w:lang w:val="en-IN"/>
        </w:rPr>
        <w:t xml:space="preserve">Extracts were </w:t>
      </w:r>
      <w:proofErr w:type="spellStart"/>
      <w:r w:rsidR="005C7A10" w:rsidRPr="005C7A10">
        <w:rPr>
          <w:lang w:val="en-IN"/>
        </w:rPr>
        <w:t>analyzed</w:t>
      </w:r>
      <w:proofErr w:type="spellEnd"/>
      <w:r w:rsidR="005C7A10" w:rsidRPr="005C7A10">
        <w:rPr>
          <w:lang w:val="en-IN"/>
        </w:rPr>
        <w:t xml:space="preserve"> and TPC obtained was expressed in mg/g</w:t>
      </w:r>
      <w:r>
        <w:rPr>
          <w:lang w:val="en-IN"/>
        </w:rPr>
        <w:t>.</w:t>
      </w:r>
    </w:p>
    <w:p w14:paraId="0D3C7875" w14:textId="1417B6F7" w:rsidR="005C7A10" w:rsidRPr="00942CD9" w:rsidRDefault="005C7A10" w:rsidP="004B3ECB">
      <w:pPr>
        <w:pStyle w:val="BodyText"/>
        <w:spacing w:before="111" w:line="360" w:lineRule="auto"/>
        <w:ind w:left="142" w:right="147"/>
        <w:rPr>
          <w:bCs/>
          <w:i/>
          <w:iCs/>
        </w:rPr>
      </w:pPr>
      <w:r w:rsidRPr="00942CD9">
        <w:rPr>
          <w:bCs/>
          <w:i/>
          <w:iCs/>
        </w:rPr>
        <w:t>2.2.2 Stirred batch extraction</w:t>
      </w:r>
    </w:p>
    <w:p w14:paraId="061E5209" w14:textId="3980E684" w:rsidR="005C7A10" w:rsidRPr="005C7A10" w:rsidRDefault="005C7A10" w:rsidP="0087647D">
      <w:pPr>
        <w:pStyle w:val="BodyText"/>
        <w:spacing w:before="111" w:line="360" w:lineRule="auto"/>
        <w:ind w:left="144" w:right="148"/>
        <w:rPr>
          <w:lang w:val="en-IN"/>
        </w:rPr>
      </w:pPr>
      <w:r w:rsidRPr="005C7A10">
        <w:rPr>
          <w:lang w:val="en-IN"/>
        </w:rPr>
        <w:t xml:space="preserve">Batch extraction was </w:t>
      </w:r>
      <w:r w:rsidR="00287B61">
        <w:rPr>
          <w:lang w:val="en-IN"/>
        </w:rPr>
        <w:t>performed</w:t>
      </w:r>
      <w:r w:rsidRPr="005C7A10">
        <w:rPr>
          <w:lang w:val="en-IN"/>
        </w:rPr>
        <w:t xml:space="preserve"> in a 100 ml glass reactor equipped with a pitched blade glass turbine impeller</w:t>
      </w:r>
      <w:r w:rsidR="006A1E53">
        <w:rPr>
          <w:lang w:val="en-IN"/>
        </w:rPr>
        <w:t xml:space="preserve"> and t</w:t>
      </w:r>
      <w:r w:rsidRPr="005C7A10">
        <w:rPr>
          <w:lang w:val="en-IN"/>
        </w:rPr>
        <w:t xml:space="preserve">he extract was </w:t>
      </w:r>
      <w:proofErr w:type="spellStart"/>
      <w:r w:rsidRPr="005C7A10">
        <w:rPr>
          <w:lang w:val="en-IN"/>
        </w:rPr>
        <w:t>analyzed</w:t>
      </w:r>
      <w:proofErr w:type="spellEnd"/>
      <w:r w:rsidRPr="005C7A10">
        <w:rPr>
          <w:lang w:val="en-IN"/>
        </w:rPr>
        <w:t xml:space="preserve"> using Folin Ciocalteu’s method by UV-visible spectrophotometer, determining the TPC in SA powder extract in mg/g. </w:t>
      </w:r>
      <w:r w:rsidR="00A718B8">
        <w:rPr>
          <w:lang w:val="en-IN"/>
        </w:rPr>
        <w:t xml:space="preserve">The study was </w:t>
      </w:r>
      <w:r w:rsidRPr="005C7A10">
        <w:rPr>
          <w:lang w:val="en-IN"/>
        </w:rPr>
        <w:t xml:space="preserve">conducted on </w:t>
      </w:r>
      <w:r w:rsidR="006A1E53">
        <w:rPr>
          <w:lang w:val="en-IN"/>
        </w:rPr>
        <w:t>various</w:t>
      </w:r>
      <w:r w:rsidRPr="005C7A10">
        <w:rPr>
          <w:lang w:val="en-IN"/>
        </w:rPr>
        <w:t xml:space="preserve"> parameters that affect the efficiency of extraction</w:t>
      </w:r>
      <w:r w:rsidR="006A1E53">
        <w:rPr>
          <w:lang w:val="en-IN"/>
        </w:rPr>
        <w:t xml:space="preserve"> like</w:t>
      </w:r>
      <w:r w:rsidRPr="005C7A10">
        <w:rPr>
          <w:lang w:val="en-IN"/>
        </w:rPr>
        <w:t xml:space="preserve"> the type of solvent, time of extraction, </w:t>
      </w:r>
      <w:r w:rsidR="00A718B8">
        <w:rPr>
          <w:lang w:val="en-IN"/>
        </w:rPr>
        <w:t>solid-to-solvent</w:t>
      </w:r>
      <w:r w:rsidRPr="005C7A10">
        <w:rPr>
          <w:lang w:val="en-IN"/>
        </w:rPr>
        <w:t xml:space="preserve"> ratio,</w:t>
      </w:r>
      <w:r w:rsidR="008B087C">
        <w:rPr>
          <w:lang w:val="en-IN"/>
        </w:rPr>
        <w:t xml:space="preserve"> pH value,</w:t>
      </w:r>
      <w:r w:rsidRPr="005C7A10">
        <w:rPr>
          <w:lang w:val="en-IN"/>
        </w:rPr>
        <w:t xml:space="preserve"> and temperature. After studying each parameter, we obtained optimized conditions for the final experiment. The experiment was then carried out under these optimized conditions.</w:t>
      </w:r>
      <w:r w:rsidR="009F1E88">
        <w:rPr>
          <w:lang w:val="en-IN"/>
        </w:rPr>
        <w:fldChar w:fldCharType="begin" w:fldLock="1"/>
      </w:r>
      <w:r w:rsidR="009F1E88">
        <w:rPr>
          <w:lang w:val="en-IN"/>
        </w:rPr>
        <w:instrText>ADDIN CSL_CITATION {"citationItems":[{"id":"ITEM-1","itemData":{"DOI":"10.1016/j.indcrop.2013.10.032","ISBN":"1873-2828 (Electronic)\\r1350-4177 (Linking)","ISSN":"09266690","PMID":"24103364","abstract":"Potential use of various extraction methods including conventional soxhlet, and three phase partitioning coupled with the ultrasound (UTPP) for the extraction of mangiferin from the leaves of Mangifera indica was evaluated and compared for the first time. The influence of various process parameters like screening of salts, sonication time, frequency, slurry to t-butanol ratio, solute to solvent ratio, temperature, pH, soaking time and power on extraction efficiency using UTPP was investigated to get the optimal yield. The optimized conditions of UTPP were found to be as follows: time 25. min, pH 6, ammonium sulfate saturation 40% (w/v), slurry to t-butanol ratio 1:1, solute to solvent ratio 1:40, frequency 25. kHz, power 180. W, duty cycle 50%, soaking time 5. min and temperature 30. ±. 2. °C. The highest yield obtained for mangiferin was 41. mg/g under optimized conditions of UTPP in 25. min compared with TPP which yielded 28. mg/g in 2. h. The combination of ultrasound and three phase partitioning enhances the benefits of both technologies and makes this process an interesting alternative to down-stream purification steps. © 2013 Elsevier B.V.","author":[{"dropping-particle":"","family":"Kulkarni","given":"Vrushali M.","non-dropping-particle":"","parse-names":false,"suffix":""},{"dropping-particle":"","family":"Rathod","given":"Virendra K.","non-dropping-particle":"","parse-names":false,"suffix":""}],"container-title":"Industrial Crops and Products","id":"ITEM-1","issued":{"date-parts":[["2014"]]},"page":"292-297","publisher":"Elsevier B.V.","title":"Extraction of mangiferin from Mangifera indica leaves using three phase partitioning coupled with ultrasound","type":"article-journal","volume":"52"},"uris":["http://www.mendeley.com/documents/?uuid=3eeb8074-9a2f-495d-9761-4cd12bc07cef"]}],"mendeley":{"formattedCitation":"[2]","plainTextFormattedCitation":"[2]","previouslyFormattedCitation":"[2]"},"properties":{"noteIndex":0},"schema":"https://github.com/citation-style-language/schema/raw/master/csl-citation.json"}</w:instrText>
      </w:r>
      <w:r w:rsidR="009F1E88">
        <w:rPr>
          <w:lang w:val="en-IN"/>
        </w:rPr>
        <w:fldChar w:fldCharType="separate"/>
      </w:r>
      <w:r w:rsidR="009F1E88" w:rsidRPr="009F1E88">
        <w:rPr>
          <w:noProof/>
          <w:lang w:val="en-IN"/>
        </w:rPr>
        <w:t>[2]</w:t>
      </w:r>
      <w:r w:rsidR="009F1E88">
        <w:rPr>
          <w:lang w:val="en-IN"/>
        </w:rPr>
        <w:fldChar w:fldCharType="end"/>
      </w:r>
      <w:r w:rsidR="009F1E88" w:rsidRPr="005C7A10">
        <w:rPr>
          <w:lang w:val="en-IN"/>
        </w:rPr>
        <w:t xml:space="preserve"> </w:t>
      </w:r>
    </w:p>
    <w:p w14:paraId="64BA3FAB" w14:textId="333D2C30" w:rsidR="005C7A10" w:rsidRPr="0087647D" w:rsidRDefault="005C7A10" w:rsidP="0087647D">
      <w:pPr>
        <w:pStyle w:val="BodyText"/>
        <w:spacing w:before="111" w:line="360" w:lineRule="auto"/>
        <w:ind w:right="148" w:firstLine="144"/>
        <w:rPr>
          <w:bCs/>
          <w:i/>
          <w:iCs/>
          <w:lang w:val="en-IN"/>
        </w:rPr>
      </w:pPr>
      <w:r w:rsidRPr="0087647D">
        <w:rPr>
          <w:bCs/>
          <w:i/>
          <w:iCs/>
          <w:lang w:val="en-IN"/>
        </w:rPr>
        <w:t xml:space="preserve">2.2.3 Kinetic studies for </w:t>
      </w:r>
      <w:r w:rsidR="0087647D">
        <w:rPr>
          <w:bCs/>
          <w:i/>
          <w:iCs/>
          <w:lang w:val="en-IN"/>
        </w:rPr>
        <w:t>batch</w:t>
      </w:r>
      <w:r w:rsidRPr="0087647D">
        <w:rPr>
          <w:bCs/>
          <w:i/>
          <w:iCs/>
          <w:lang w:val="en-IN"/>
        </w:rPr>
        <w:t xml:space="preserve"> extraction of phenolics</w:t>
      </w:r>
    </w:p>
    <w:p w14:paraId="52D672C9" w14:textId="6D2B0008" w:rsidR="00F4228F" w:rsidRDefault="00F4228F" w:rsidP="0087647D">
      <w:pPr>
        <w:pStyle w:val="BodyText"/>
        <w:spacing w:before="111" w:line="360" w:lineRule="auto"/>
        <w:ind w:left="142" w:right="147"/>
        <w:rPr>
          <w:lang w:val="en-IN"/>
        </w:rPr>
      </w:pPr>
      <w:r w:rsidRPr="00F4228F">
        <w:rPr>
          <w:lang w:val="en-IN"/>
        </w:rPr>
        <w:t xml:space="preserve">Kinetic </w:t>
      </w:r>
      <w:proofErr w:type="spellStart"/>
      <w:r w:rsidRPr="00F4228F">
        <w:rPr>
          <w:lang w:val="en-IN"/>
        </w:rPr>
        <w:t>modeling</w:t>
      </w:r>
      <w:proofErr w:type="spellEnd"/>
      <w:r w:rsidRPr="00F4228F">
        <w:rPr>
          <w:lang w:val="en-IN"/>
        </w:rPr>
        <w:t xml:space="preserve"> was done with Peleg's model to determine TPC extraction kinetics from Spilanthes Acmella using batch extraction. The study aimed to find equilibrium concentration, initial extraction rate, and rate</w:t>
      </w:r>
      <w:r>
        <w:rPr>
          <w:lang w:val="en-IN"/>
        </w:rPr>
        <w:t xml:space="preserve"> in the later part of extraction</w:t>
      </w:r>
      <w:r w:rsidRPr="00F4228F">
        <w:rPr>
          <w:lang w:val="en-IN"/>
        </w:rPr>
        <w:t xml:space="preserve">. </w:t>
      </w:r>
    </w:p>
    <w:p w14:paraId="06BEF4B8" w14:textId="5ADFB2AD" w:rsidR="005C7A10" w:rsidRPr="0087647D" w:rsidRDefault="005C7A10" w:rsidP="0087647D">
      <w:pPr>
        <w:pStyle w:val="BodyText"/>
        <w:spacing w:before="111" w:line="360" w:lineRule="auto"/>
        <w:ind w:left="142" w:right="147"/>
        <w:rPr>
          <w:bCs/>
          <w:i/>
          <w:iCs/>
        </w:rPr>
      </w:pPr>
      <w:r w:rsidRPr="0087647D">
        <w:rPr>
          <w:bCs/>
          <w:i/>
          <w:iCs/>
          <w:lang w:val="en-IN"/>
        </w:rPr>
        <w:t xml:space="preserve">2.2.4 </w:t>
      </w:r>
      <w:r w:rsidRPr="0087647D">
        <w:rPr>
          <w:bCs/>
          <w:i/>
          <w:iCs/>
        </w:rPr>
        <w:t>Total phenolic content determination assay</w:t>
      </w:r>
    </w:p>
    <w:p w14:paraId="6F1E2EF0" w14:textId="32451010" w:rsidR="008C30E1" w:rsidRPr="005C7A10" w:rsidRDefault="001B40C9" w:rsidP="008C30E1">
      <w:pPr>
        <w:pStyle w:val="BodyText"/>
        <w:spacing w:before="111" w:line="360" w:lineRule="auto"/>
        <w:ind w:left="144" w:right="148"/>
        <w:rPr>
          <w:b/>
          <w:lang w:val="en-IN"/>
        </w:rPr>
      </w:pPr>
      <w:r w:rsidRPr="001B40C9">
        <w:rPr>
          <w:lang w:val="en-IN"/>
        </w:rPr>
        <w:t>To determine the total phenolic content of the extract obtained from Soxhlet and batch, the Folin Ciocalteu's method was used. The sample was incubated in the dark at room temperature for 2 hours. The absorbance was measured at 750 nm using Jasco V-</w:t>
      </w:r>
      <w:r w:rsidRPr="001B40C9">
        <w:rPr>
          <w:lang w:val="en-IN"/>
        </w:rPr>
        <w:lastRenderedPageBreak/>
        <w:t>630 UV-visible spectrophotometer, after the incubation period. The total phenolic content was determined in mg of GAE/g of the sample.</w:t>
      </w:r>
    </w:p>
    <w:p w14:paraId="34EB3E2E" w14:textId="77777777" w:rsidR="00A02CDE" w:rsidRDefault="002249C8" w:rsidP="0087647D">
      <w:pPr>
        <w:pStyle w:val="Heading2"/>
        <w:numPr>
          <w:ilvl w:val="0"/>
          <w:numId w:val="2"/>
        </w:numPr>
        <w:tabs>
          <w:tab w:val="left" w:pos="347"/>
        </w:tabs>
        <w:spacing w:line="360" w:lineRule="auto"/>
        <w:ind w:left="346" w:hanging="203"/>
      </w:pPr>
      <w:r>
        <w:t>Significant</w:t>
      </w:r>
      <w:r>
        <w:rPr>
          <w:spacing w:val="-6"/>
        </w:rPr>
        <w:t xml:space="preserve"> </w:t>
      </w:r>
      <w:r>
        <w:t>Results</w:t>
      </w:r>
      <w:r>
        <w:rPr>
          <w:spacing w:val="-6"/>
        </w:rPr>
        <w:t xml:space="preserve"> </w:t>
      </w:r>
      <w:r>
        <w:t>and</w:t>
      </w:r>
      <w:r>
        <w:rPr>
          <w:spacing w:val="-7"/>
        </w:rPr>
        <w:t xml:space="preserve"> </w:t>
      </w:r>
      <w:r>
        <w:rPr>
          <w:spacing w:val="-2"/>
        </w:rPr>
        <w:t>Discussion</w:t>
      </w:r>
    </w:p>
    <w:p w14:paraId="1BE1BA86" w14:textId="185FB5BF" w:rsidR="00DD788C" w:rsidRPr="0087647D" w:rsidRDefault="00DD788C" w:rsidP="0087647D">
      <w:pPr>
        <w:pStyle w:val="BodyText"/>
        <w:spacing w:before="111" w:line="360" w:lineRule="auto"/>
        <w:ind w:left="144" w:right="142"/>
        <w:rPr>
          <w:i/>
          <w:iCs/>
          <w:lang w:val="en-IN"/>
        </w:rPr>
      </w:pPr>
      <w:r w:rsidRPr="0087647D">
        <w:rPr>
          <w:i/>
          <w:iCs/>
          <w:lang w:val="en-IN"/>
        </w:rPr>
        <w:t>3.</w:t>
      </w:r>
      <w:r w:rsidR="0087647D" w:rsidRPr="0087647D">
        <w:rPr>
          <w:i/>
          <w:iCs/>
          <w:lang w:val="en-IN"/>
        </w:rPr>
        <w:t>1</w:t>
      </w:r>
      <w:r w:rsidRPr="0087647D">
        <w:rPr>
          <w:i/>
          <w:iCs/>
          <w:lang w:val="en-IN"/>
        </w:rPr>
        <w:t xml:space="preserve"> Optimization of process parameters and validation of </w:t>
      </w:r>
      <w:r w:rsidR="00171AEE">
        <w:rPr>
          <w:i/>
          <w:iCs/>
          <w:lang w:val="en-IN"/>
        </w:rPr>
        <w:t xml:space="preserve">the </w:t>
      </w:r>
      <w:r w:rsidRPr="0087647D">
        <w:rPr>
          <w:i/>
          <w:iCs/>
          <w:lang w:val="en-IN"/>
        </w:rPr>
        <w:t>model</w:t>
      </w:r>
    </w:p>
    <w:p w14:paraId="3DBD7A26" w14:textId="5EDEA50F" w:rsidR="00DD788C" w:rsidRPr="00DD788C" w:rsidRDefault="00DD788C" w:rsidP="0087647D">
      <w:pPr>
        <w:pStyle w:val="BodyText"/>
        <w:spacing w:before="111" w:line="360" w:lineRule="auto"/>
        <w:ind w:left="142" w:right="142"/>
        <w:jc w:val="both"/>
        <w:rPr>
          <w:lang w:val="en-IN"/>
        </w:rPr>
      </w:pPr>
      <w:r w:rsidRPr="00DD788C">
        <w:rPr>
          <w:lang w:val="en-IN"/>
        </w:rPr>
        <w:t>In the present work, the influence of different solvents (methanol, water, ethanol, acetone</w:t>
      </w:r>
      <w:r w:rsidR="00171AEE">
        <w:rPr>
          <w:lang w:val="en-IN"/>
        </w:rPr>
        <w:t>,</w:t>
      </w:r>
      <w:r w:rsidRPr="00DD788C">
        <w:rPr>
          <w:lang w:val="en-IN"/>
        </w:rPr>
        <w:t xml:space="preserve"> and n-butanol), extraction temperatures (30, 40, 50</w:t>
      </w:r>
      <w:r w:rsidR="00171AEE">
        <w:rPr>
          <w:lang w:val="en-IN"/>
        </w:rPr>
        <w:t>,</w:t>
      </w:r>
      <w:r w:rsidRPr="00DD788C">
        <w:rPr>
          <w:lang w:val="en-IN"/>
        </w:rPr>
        <w:t xml:space="preserve"> and 60 °C), solid to solvent ratio (1:10, 1:20, 1:30, 1:40 and 1:50), speed of agitation (100, 200, 300, 400 and 500 rpm), and pH value (4, 5, 6, 7 and 8) on the amount of TPC extracted per g of Spilanthes Acmella powder have been investigated. The experimental values have also been compared with the values obtained from Peleg’s model. </w:t>
      </w:r>
      <w:r w:rsidR="00171AEE">
        <w:rPr>
          <w:lang w:val="en-IN"/>
        </w:rPr>
        <w:t>T</w:t>
      </w:r>
      <w:r w:rsidRPr="00DD788C">
        <w:rPr>
          <w:lang w:val="en-IN"/>
        </w:rPr>
        <w:t>o decide the optimum time of extraction, the experiments done with different solvents have been considered and the obtained trends for the variation in the amount of TPC extracted per g of Spilanthes Acmella with time have been given in Fig. 1. As seen in Fig. 1, the extraction of TPC was very fast during the first 15 min as the TPC concentration gradient between the solvent and the plant material is maximum and also due to the ease of extraction from the outer part of the matrix during the initial period. Afterward, the yield of TPC increased gradually with time till 25 min because of the lower concentration gradient and because the remaining TPC is located in the interior part of the plant cell. Based on the observations, it has been established that 30 min is required for giving maximum release of TPC in the case of stirred batch extraction and hence all the experiments related to the understanding of the effect of operating parameters were performed for 1 hour.</w:t>
      </w:r>
      <w:r w:rsidR="009F1E88">
        <w:rPr>
          <w:lang w:val="en-IN"/>
        </w:rPr>
        <w:fldChar w:fldCharType="begin" w:fldLock="1"/>
      </w:r>
      <w:r w:rsidR="009F1E88">
        <w:rPr>
          <w:lang w:val="en-IN"/>
        </w:rPr>
        <w:instrText>ADDIN CSL_CITATION {"citationItems":[{"id":"ITEM-1","itemData":{"DOI":"10.1016/j.cep.2013.01.011","ISBN":"0255-2701","ISSN":"02552701","abstract":"The present work describes the application of ultrasound for the intensification of ursolic acid (UA) extraction from Ocimum sanctum (OS). The different process parameters such as extraction time, solid to solvent ratio, extraction temperature, ultrasound power and frequency have been optimized based on the maximum extraction yield. The maximum yield 16.47. mg UA/g of OS was obtained at optimum extraction conditions (extraction time 12. min, solid to solvent ratio 1:30, temperature 45. °C and frequency of 25. kHz). Effect of 25. kHz and 40. kHz has been observed at different power dissipation. The combined effect of frequency and ultrasound power gives a better extraction yield while temperature has no significant effect on extraction. The yield obtained with ultrasound-assisted extraction (UAE) has been compared with batch and soxhlet extraction of UA. This research clearly shows that the UAE method is quite better than conventional extraction as it effectively reduces the extraction time of UA to just 12. min without deterioration. Further, the kinetics of the extraction is investigated by the Peleg's model. The extraction rate constant, initial extraction rate and equilibrium concentration for all experimental conditions have been predicted. The mathematical model applied showed a good agreement with the experimental results. © 2013 Elsevier B.V.","author":[{"dropping-particle":"","family":"Vetal","given":"Mangesh D.","non-dropping-particle":"","parse-names":false,"suffix":""},{"dropping-particle":"","family":"Lade","given":"Vikesh G.","non-dropping-particle":"","parse-names":false,"suffix":""},{"dropping-particle":"","family":"Rathod","given":"Virendra K.","non-dropping-particle":"","parse-names":false,"suffix":""}],"container-title":"Chemical Engineering and Processing: Process Intensification","id":"ITEM-1","issued":{"date-parts":[["2013"]]},"title":"Extraction of ursolic acid from Ocimum sanctum by ultrasound: Process intensification and kinetic studies","type":"article-journal"},"uris":["http://www.mendeley.com/documents/?uuid=22627270-39f3-3c27-ae35-da7a8517d960"]}],"mendeley":{"formattedCitation":"[3]","plainTextFormattedCitation":"[3]","previouslyFormattedCitation":"[3]"},"properties":{"noteIndex":0},"schema":"https://github.com/citation-style-language/schema/raw/master/csl-citation.json"}</w:instrText>
      </w:r>
      <w:r w:rsidR="009F1E88">
        <w:rPr>
          <w:lang w:val="en-IN"/>
        </w:rPr>
        <w:fldChar w:fldCharType="separate"/>
      </w:r>
      <w:r w:rsidR="009F1E88" w:rsidRPr="009F1E88">
        <w:rPr>
          <w:noProof/>
          <w:lang w:val="en-IN"/>
        </w:rPr>
        <w:t>[3]</w:t>
      </w:r>
      <w:r w:rsidR="009F1E88">
        <w:rPr>
          <w:lang w:val="en-IN"/>
        </w:rPr>
        <w:fldChar w:fldCharType="end"/>
      </w:r>
    </w:p>
    <w:p w14:paraId="165A7D99" w14:textId="57A4C8ED" w:rsidR="00DD788C" w:rsidRPr="00171AEE" w:rsidRDefault="00DD788C" w:rsidP="00DD788C">
      <w:pPr>
        <w:pStyle w:val="BodyText"/>
        <w:spacing w:before="111" w:line="360" w:lineRule="auto"/>
        <w:ind w:left="144" w:right="142"/>
        <w:rPr>
          <w:bCs/>
          <w:i/>
          <w:iCs/>
        </w:rPr>
      </w:pPr>
      <w:r w:rsidRPr="00171AEE">
        <w:rPr>
          <w:bCs/>
          <w:i/>
          <w:iCs/>
        </w:rPr>
        <w:t>3.</w:t>
      </w:r>
      <w:r w:rsidR="00171AEE" w:rsidRPr="00171AEE">
        <w:rPr>
          <w:bCs/>
          <w:i/>
          <w:iCs/>
        </w:rPr>
        <w:t>2</w:t>
      </w:r>
      <w:r w:rsidRPr="00171AEE">
        <w:rPr>
          <w:bCs/>
          <w:i/>
          <w:iCs/>
        </w:rPr>
        <w:t xml:space="preserve"> Comparison of different extraction techniques based on yield and economy</w:t>
      </w:r>
    </w:p>
    <w:p w14:paraId="289104F7" w14:textId="21E5B056" w:rsidR="00DD788C" w:rsidRDefault="00DD788C" w:rsidP="00DD788C">
      <w:pPr>
        <w:pStyle w:val="BodyText"/>
        <w:spacing w:before="111" w:line="360" w:lineRule="auto"/>
        <w:ind w:left="144" w:right="142"/>
      </w:pPr>
      <w:r w:rsidRPr="00DD788C">
        <w:t xml:space="preserve">The study compared the results of Soxhlet and stirred batch extraction techniques based on the yield of TPC (Table </w:t>
      </w:r>
      <w:r w:rsidR="00171AEE">
        <w:t>1</w:t>
      </w:r>
      <w:r w:rsidRPr="00DD788C">
        <w:t xml:space="preserve">) and economy in terms of energy consumption and cost estimation (Table </w:t>
      </w:r>
      <w:r w:rsidR="00171AEE">
        <w:t>2</w:t>
      </w:r>
      <w:r w:rsidRPr="00DD788C">
        <w:t xml:space="preserve">). </w:t>
      </w:r>
      <w:r w:rsidR="00171AEE">
        <w:t>The s</w:t>
      </w:r>
      <w:r w:rsidRPr="00DD788C">
        <w:t xml:space="preserve">oxhlet technique uses a reflux mechanism at the boiling point of water, which may result in the degradation of thermolabile compounds during extraction. However, when water was used as a solvent, the Soxhlet technique produced a lower extraction yield compared to stirred batch extraction. Stirred batch extraction is a quicker process that requires less solvent and temperature while producing higher TPC than the Soxhlet technique. In addition, stirred batch extraction was found to be more cost-effective and required less energy than Soxhlet extraction, with costs and energy requirements around 500 times lower than that of the Soxhlet technique (Table </w:t>
      </w:r>
      <w:r w:rsidR="00171AEE">
        <w:t>2</w:t>
      </w:r>
      <w:r w:rsidRPr="00DD788C">
        <w:t>). Therefore, it has been demonstrated that batch extraction is an economical and efficient method for extracting phenolic compounds from SA.</w:t>
      </w:r>
    </w:p>
    <w:p w14:paraId="03AAA5F8" w14:textId="2B3BC4F3" w:rsidR="00DC4BF9" w:rsidRDefault="00DC4BF9" w:rsidP="00DD788C">
      <w:pPr>
        <w:pStyle w:val="BodyText"/>
        <w:spacing w:before="111" w:line="360" w:lineRule="auto"/>
        <w:ind w:left="144" w:right="142"/>
        <w:rPr>
          <w:i/>
          <w:iCs/>
        </w:rPr>
      </w:pPr>
      <w:r w:rsidRPr="00DC4BF9">
        <w:rPr>
          <w:i/>
          <w:iCs/>
        </w:rPr>
        <w:t xml:space="preserve">3.3 Figures and tables </w:t>
      </w:r>
    </w:p>
    <w:p w14:paraId="69BCA9F8" w14:textId="77777777" w:rsidR="00DC4BF9" w:rsidRDefault="00DC4BF9" w:rsidP="00DC4BF9">
      <w:pPr>
        <w:pStyle w:val="Heading2"/>
        <w:spacing w:before="99" w:after="3"/>
        <w:ind w:left="4" w:right="5" w:firstLine="0"/>
        <w:jc w:val="center"/>
      </w:pPr>
      <w:r>
        <w:t>Table</w:t>
      </w:r>
      <w:r>
        <w:rPr>
          <w:spacing w:val="-5"/>
        </w:rPr>
        <w:t xml:space="preserve"> </w:t>
      </w:r>
      <w:r>
        <w:t>1:</w:t>
      </w:r>
      <w:r>
        <w:rPr>
          <w:spacing w:val="-4"/>
        </w:rPr>
        <w:t xml:space="preserve"> </w:t>
      </w:r>
      <w:r w:rsidRPr="007D4385">
        <w:t>Yields of TPC by different extraction techniques and extraction parameters.</w:t>
      </w:r>
    </w:p>
    <w:tbl>
      <w:tblPr>
        <w:tblStyle w:val="TableGrid"/>
        <w:tblW w:w="9889" w:type="dxa"/>
        <w:jc w:val="center"/>
        <w:tblLook w:val="04A0" w:firstRow="1" w:lastRow="0" w:firstColumn="1" w:lastColumn="0" w:noHBand="0" w:noVBand="1"/>
      </w:tblPr>
      <w:tblGrid>
        <w:gridCol w:w="2376"/>
        <w:gridCol w:w="1843"/>
        <w:gridCol w:w="992"/>
        <w:gridCol w:w="1276"/>
        <w:gridCol w:w="1843"/>
        <w:gridCol w:w="1559"/>
      </w:tblGrid>
      <w:tr w:rsidR="00DC4BF9" w:rsidRPr="00C86999" w14:paraId="4F2F5183" w14:textId="77777777" w:rsidTr="005B599E">
        <w:trPr>
          <w:trHeight w:val="315"/>
          <w:jc w:val="center"/>
        </w:trPr>
        <w:tc>
          <w:tcPr>
            <w:tcW w:w="2376" w:type="dxa"/>
            <w:noWrap/>
            <w:hideMark/>
          </w:tcPr>
          <w:p w14:paraId="05D1803D" w14:textId="77777777" w:rsidR="00DC4BF9" w:rsidRPr="007D4385" w:rsidRDefault="00DC4BF9" w:rsidP="005B599E">
            <w:pPr>
              <w:spacing w:line="480" w:lineRule="auto"/>
              <w:jc w:val="center"/>
              <w:rPr>
                <w:b/>
                <w:bCs/>
                <w:sz w:val="20"/>
                <w:szCs w:val="20"/>
              </w:rPr>
            </w:pPr>
            <w:r w:rsidRPr="007D4385">
              <w:rPr>
                <w:b/>
                <w:bCs/>
                <w:sz w:val="20"/>
                <w:szCs w:val="20"/>
              </w:rPr>
              <w:t>Extraction techniques</w:t>
            </w:r>
          </w:p>
        </w:tc>
        <w:tc>
          <w:tcPr>
            <w:tcW w:w="1843" w:type="dxa"/>
            <w:noWrap/>
            <w:hideMark/>
          </w:tcPr>
          <w:p w14:paraId="51316246" w14:textId="77777777" w:rsidR="00DC4BF9" w:rsidRPr="007D4385" w:rsidRDefault="00DC4BF9" w:rsidP="005B599E">
            <w:pPr>
              <w:spacing w:line="480" w:lineRule="auto"/>
              <w:jc w:val="center"/>
              <w:rPr>
                <w:b/>
                <w:bCs/>
                <w:sz w:val="20"/>
                <w:szCs w:val="20"/>
              </w:rPr>
            </w:pPr>
            <w:r w:rsidRPr="007D4385">
              <w:rPr>
                <w:b/>
                <w:bCs/>
                <w:sz w:val="20"/>
                <w:szCs w:val="20"/>
              </w:rPr>
              <w:t>TPC (mg GAE/g)</w:t>
            </w:r>
          </w:p>
        </w:tc>
        <w:tc>
          <w:tcPr>
            <w:tcW w:w="992" w:type="dxa"/>
            <w:noWrap/>
            <w:hideMark/>
          </w:tcPr>
          <w:p w14:paraId="6E940785" w14:textId="77777777" w:rsidR="00DC4BF9" w:rsidRPr="007D4385" w:rsidRDefault="00DC4BF9" w:rsidP="005B599E">
            <w:pPr>
              <w:spacing w:line="480" w:lineRule="auto"/>
              <w:jc w:val="center"/>
              <w:rPr>
                <w:b/>
                <w:bCs/>
                <w:color w:val="000000"/>
                <w:sz w:val="20"/>
                <w:szCs w:val="20"/>
                <w:lang w:val="en-IN" w:eastAsia="en-IN" w:bidi="mr-IN"/>
              </w:rPr>
            </w:pPr>
            <w:r w:rsidRPr="007D4385">
              <w:rPr>
                <w:b/>
                <w:bCs/>
                <w:sz w:val="20"/>
                <w:szCs w:val="20"/>
              </w:rPr>
              <w:t xml:space="preserve">Time </w:t>
            </w:r>
          </w:p>
        </w:tc>
        <w:tc>
          <w:tcPr>
            <w:tcW w:w="1276" w:type="dxa"/>
            <w:noWrap/>
            <w:hideMark/>
          </w:tcPr>
          <w:p w14:paraId="3FF16F54" w14:textId="77777777" w:rsidR="00DC4BF9" w:rsidRPr="007D4385" w:rsidRDefault="00DC4BF9" w:rsidP="005B599E">
            <w:pPr>
              <w:spacing w:line="480" w:lineRule="auto"/>
              <w:jc w:val="center"/>
              <w:rPr>
                <w:b/>
                <w:bCs/>
                <w:sz w:val="20"/>
                <w:szCs w:val="20"/>
              </w:rPr>
            </w:pPr>
            <w:r w:rsidRPr="007D4385">
              <w:rPr>
                <w:b/>
                <w:bCs/>
                <w:sz w:val="20"/>
                <w:szCs w:val="20"/>
              </w:rPr>
              <w:t>Water (mL)</w:t>
            </w:r>
          </w:p>
        </w:tc>
        <w:tc>
          <w:tcPr>
            <w:tcW w:w="1843" w:type="dxa"/>
            <w:noWrap/>
            <w:hideMark/>
          </w:tcPr>
          <w:p w14:paraId="2C48C6A7" w14:textId="77777777" w:rsidR="00DC4BF9" w:rsidRPr="007D4385" w:rsidRDefault="00DC4BF9" w:rsidP="005B599E">
            <w:pPr>
              <w:spacing w:line="480" w:lineRule="auto"/>
              <w:jc w:val="center"/>
              <w:rPr>
                <w:b/>
                <w:bCs/>
                <w:sz w:val="20"/>
                <w:szCs w:val="20"/>
              </w:rPr>
            </w:pPr>
            <w:r w:rsidRPr="007D4385">
              <w:rPr>
                <w:b/>
                <w:bCs/>
                <w:sz w:val="20"/>
                <w:szCs w:val="20"/>
              </w:rPr>
              <w:t>Temperature (℃)</w:t>
            </w:r>
          </w:p>
        </w:tc>
        <w:tc>
          <w:tcPr>
            <w:tcW w:w="1559" w:type="dxa"/>
            <w:noWrap/>
            <w:hideMark/>
          </w:tcPr>
          <w:p w14:paraId="7EF9C609" w14:textId="77777777" w:rsidR="00DC4BF9" w:rsidRPr="007D4385" w:rsidRDefault="00DC4BF9" w:rsidP="005B599E">
            <w:pPr>
              <w:spacing w:line="480" w:lineRule="auto"/>
              <w:jc w:val="center"/>
              <w:rPr>
                <w:b/>
                <w:bCs/>
                <w:sz w:val="20"/>
                <w:szCs w:val="20"/>
              </w:rPr>
            </w:pPr>
            <w:r w:rsidRPr="007D4385">
              <w:rPr>
                <w:b/>
                <w:bCs/>
                <w:sz w:val="20"/>
                <w:szCs w:val="20"/>
              </w:rPr>
              <w:t>Stirring (rpm)</w:t>
            </w:r>
          </w:p>
        </w:tc>
      </w:tr>
      <w:tr w:rsidR="00DC4BF9" w:rsidRPr="00C86999" w14:paraId="52A8A52E" w14:textId="77777777" w:rsidTr="005B599E">
        <w:trPr>
          <w:trHeight w:val="315"/>
          <w:jc w:val="center"/>
        </w:trPr>
        <w:tc>
          <w:tcPr>
            <w:tcW w:w="2376" w:type="dxa"/>
            <w:noWrap/>
            <w:hideMark/>
          </w:tcPr>
          <w:p w14:paraId="6556ED5F" w14:textId="77777777" w:rsidR="00DC4BF9" w:rsidRPr="007D4385" w:rsidRDefault="00DC4BF9" w:rsidP="005B599E">
            <w:pPr>
              <w:spacing w:line="480" w:lineRule="auto"/>
              <w:jc w:val="center"/>
              <w:rPr>
                <w:b/>
                <w:bCs/>
                <w:sz w:val="20"/>
                <w:szCs w:val="20"/>
              </w:rPr>
            </w:pPr>
            <w:r w:rsidRPr="007D4385">
              <w:rPr>
                <w:b/>
                <w:bCs/>
                <w:sz w:val="20"/>
                <w:szCs w:val="20"/>
              </w:rPr>
              <w:t>Soxhlet</w:t>
            </w:r>
          </w:p>
        </w:tc>
        <w:tc>
          <w:tcPr>
            <w:tcW w:w="1843" w:type="dxa"/>
            <w:noWrap/>
            <w:hideMark/>
          </w:tcPr>
          <w:p w14:paraId="52DD4D19" w14:textId="77777777" w:rsidR="00DC4BF9" w:rsidRPr="007D4385" w:rsidRDefault="00DC4BF9" w:rsidP="005B599E">
            <w:pPr>
              <w:spacing w:line="480" w:lineRule="auto"/>
              <w:jc w:val="center"/>
              <w:rPr>
                <w:sz w:val="20"/>
                <w:szCs w:val="20"/>
              </w:rPr>
            </w:pPr>
            <w:r w:rsidRPr="007D4385">
              <w:rPr>
                <w:sz w:val="20"/>
                <w:szCs w:val="20"/>
              </w:rPr>
              <w:t>11.59</w:t>
            </w:r>
          </w:p>
        </w:tc>
        <w:tc>
          <w:tcPr>
            <w:tcW w:w="992" w:type="dxa"/>
            <w:noWrap/>
            <w:hideMark/>
          </w:tcPr>
          <w:p w14:paraId="0EE38E07" w14:textId="77777777" w:rsidR="00DC4BF9" w:rsidRPr="007D4385" w:rsidRDefault="00DC4BF9" w:rsidP="005B599E">
            <w:pPr>
              <w:spacing w:line="480" w:lineRule="auto"/>
              <w:jc w:val="center"/>
              <w:rPr>
                <w:sz w:val="20"/>
                <w:szCs w:val="20"/>
              </w:rPr>
            </w:pPr>
            <w:r w:rsidRPr="007D4385">
              <w:rPr>
                <w:sz w:val="20"/>
                <w:szCs w:val="20"/>
              </w:rPr>
              <w:t>5 h</w:t>
            </w:r>
          </w:p>
        </w:tc>
        <w:tc>
          <w:tcPr>
            <w:tcW w:w="1276" w:type="dxa"/>
            <w:noWrap/>
            <w:hideMark/>
          </w:tcPr>
          <w:p w14:paraId="4ACC6321" w14:textId="77777777" w:rsidR="00DC4BF9" w:rsidRPr="007D4385" w:rsidRDefault="00DC4BF9" w:rsidP="005B599E">
            <w:pPr>
              <w:spacing w:line="480" w:lineRule="auto"/>
              <w:jc w:val="center"/>
              <w:rPr>
                <w:sz w:val="20"/>
                <w:szCs w:val="20"/>
              </w:rPr>
            </w:pPr>
            <w:r w:rsidRPr="007D4385">
              <w:rPr>
                <w:sz w:val="20"/>
                <w:szCs w:val="20"/>
              </w:rPr>
              <w:t>180 mL</w:t>
            </w:r>
          </w:p>
        </w:tc>
        <w:tc>
          <w:tcPr>
            <w:tcW w:w="1843" w:type="dxa"/>
            <w:noWrap/>
            <w:hideMark/>
          </w:tcPr>
          <w:p w14:paraId="1E03D8DC" w14:textId="77777777" w:rsidR="00DC4BF9" w:rsidRPr="007D4385" w:rsidRDefault="00DC4BF9" w:rsidP="005B599E">
            <w:pPr>
              <w:spacing w:line="480" w:lineRule="auto"/>
              <w:jc w:val="center"/>
              <w:rPr>
                <w:sz w:val="20"/>
                <w:szCs w:val="20"/>
              </w:rPr>
            </w:pPr>
            <w:r w:rsidRPr="007D4385">
              <w:rPr>
                <w:sz w:val="20"/>
                <w:szCs w:val="20"/>
              </w:rPr>
              <w:t>100</w:t>
            </w:r>
          </w:p>
        </w:tc>
        <w:tc>
          <w:tcPr>
            <w:tcW w:w="1559" w:type="dxa"/>
            <w:noWrap/>
            <w:hideMark/>
          </w:tcPr>
          <w:p w14:paraId="14A32AAB" w14:textId="77777777" w:rsidR="00DC4BF9" w:rsidRPr="007D4385" w:rsidRDefault="00DC4BF9" w:rsidP="005B599E">
            <w:pPr>
              <w:spacing w:line="480" w:lineRule="auto"/>
              <w:jc w:val="center"/>
              <w:rPr>
                <w:sz w:val="20"/>
                <w:szCs w:val="20"/>
              </w:rPr>
            </w:pPr>
            <w:r w:rsidRPr="007D4385">
              <w:rPr>
                <w:sz w:val="20"/>
                <w:szCs w:val="20"/>
              </w:rPr>
              <w:t>NA</w:t>
            </w:r>
          </w:p>
        </w:tc>
      </w:tr>
      <w:tr w:rsidR="00DC4BF9" w:rsidRPr="00C86999" w14:paraId="722B29F6" w14:textId="77777777" w:rsidTr="005B599E">
        <w:trPr>
          <w:trHeight w:val="315"/>
          <w:jc w:val="center"/>
        </w:trPr>
        <w:tc>
          <w:tcPr>
            <w:tcW w:w="2376" w:type="dxa"/>
            <w:noWrap/>
            <w:hideMark/>
          </w:tcPr>
          <w:p w14:paraId="2AD5C55B" w14:textId="77777777" w:rsidR="00DC4BF9" w:rsidRPr="007D4385" w:rsidRDefault="00DC4BF9" w:rsidP="005B599E">
            <w:pPr>
              <w:spacing w:line="480" w:lineRule="auto"/>
              <w:jc w:val="center"/>
              <w:rPr>
                <w:b/>
                <w:bCs/>
                <w:sz w:val="20"/>
                <w:szCs w:val="20"/>
              </w:rPr>
            </w:pPr>
            <w:r w:rsidRPr="007D4385">
              <w:rPr>
                <w:b/>
                <w:bCs/>
                <w:sz w:val="20"/>
                <w:szCs w:val="20"/>
              </w:rPr>
              <w:t>Stirred batch extraction</w:t>
            </w:r>
          </w:p>
        </w:tc>
        <w:tc>
          <w:tcPr>
            <w:tcW w:w="1843" w:type="dxa"/>
            <w:noWrap/>
            <w:hideMark/>
          </w:tcPr>
          <w:p w14:paraId="66010042" w14:textId="77777777" w:rsidR="00DC4BF9" w:rsidRPr="007D4385" w:rsidRDefault="00DC4BF9" w:rsidP="005B599E">
            <w:pPr>
              <w:spacing w:line="480" w:lineRule="auto"/>
              <w:jc w:val="center"/>
              <w:rPr>
                <w:sz w:val="20"/>
                <w:szCs w:val="20"/>
              </w:rPr>
            </w:pPr>
            <w:r w:rsidRPr="007D4385">
              <w:rPr>
                <w:sz w:val="20"/>
                <w:szCs w:val="20"/>
              </w:rPr>
              <w:t>18.91</w:t>
            </w:r>
          </w:p>
        </w:tc>
        <w:tc>
          <w:tcPr>
            <w:tcW w:w="992" w:type="dxa"/>
            <w:noWrap/>
            <w:hideMark/>
          </w:tcPr>
          <w:p w14:paraId="4F73D9C3" w14:textId="77777777" w:rsidR="00DC4BF9" w:rsidRPr="007D4385" w:rsidRDefault="00DC4BF9" w:rsidP="005B599E">
            <w:pPr>
              <w:spacing w:line="480" w:lineRule="auto"/>
              <w:jc w:val="center"/>
              <w:rPr>
                <w:sz w:val="20"/>
                <w:szCs w:val="20"/>
              </w:rPr>
            </w:pPr>
            <w:r w:rsidRPr="007D4385">
              <w:rPr>
                <w:sz w:val="20"/>
                <w:szCs w:val="20"/>
              </w:rPr>
              <w:t>30 min.</w:t>
            </w:r>
          </w:p>
        </w:tc>
        <w:tc>
          <w:tcPr>
            <w:tcW w:w="1276" w:type="dxa"/>
            <w:noWrap/>
            <w:hideMark/>
          </w:tcPr>
          <w:p w14:paraId="2A75FC5C" w14:textId="77777777" w:rsidR="00DC4BF9" w:rsidRPr="007D4385" w:rsidRDefault="00DC4BF9" w:rsidP="005B599E">
            <w:pPr>
              <w:spacing w:line="480" w:lineRule="auto"/>
              <w:jc w:val="center"/>
              <w:rPr>
                <w:sz w:val="20"/>
                <w:szCs w:val="20"/>
              </w:rPr>
            </w:pPr>
            <w:r w:rsidRPr="007D4385">
              <w:rPr>
                <w:sz w:val="20"/>
                <w:szCs w:val="20"/>
              </w:rPr>
              <w:t>30 mL</w:t>
            </w:r>
          </w:p>
        </w:tc>
        <w:tc>
          <w:tcPr>
            <w:tcW w:w="1843" w:type="dxa"/>
            <w:noWrap/>
            <w:hideMark/>
          </w:tcPr>
          <w:p w14:paraId="0B5F2C31" w14:textId="77777777" w:rsidR="00DC4BF9" w:rsidRPr="007D4385" w:rsidRDefault="00DC4BF9" w:rsidP="005B599E">
            <w:pPr>
              <w:spacing w:line="480" w:lineRule="auto"/>
              <w:jc w:val="center"/>
              <w:rPr>
                <w:sz w:val="20"/>
                <w:szCs w:val="20"/>
              </w:rPr>
            </w:pPr>
            <w:r w:rsidRPr="007D4385">
              <w:rPr>
                <w:sz w:val="20"/>
                <w:szCs w:val="20"/>
              </w:rPr>
              <w:t>50</w:t>
            </w:r>
          </w:p>
        </w:tc>
        <w:tc>
          <w:tcPr>
            <w:tcW w:w="1559" w:type="dxa"/>
            <w:noWrap/>
            <w:hideMark/>
          </w:tcPr>
          <w:p w14:paraId="5D2F1450" w14:textId="77777777" w:rsidR="00DC4BF9" w:rsidRPr="007D4385" w:rsidRDefault="00DC4BF9" w:rsidP="005B599E">
            <w:pPr>
              <w:spacing w:line="480" w:lineRule="auto"/>
              <w:jc w:val="center"/>
              <w:rPr>
                <w:sz w:val="20"/>
                <w:szCs w:val="20"/>
              </w:rPr>
            </w:pPr>
            <w:r w:rsidRPr="007D4385">
              <w:rPr>
                <w:sz w:val="20"/>
                <w:szCs w:val="20"/>
              </w:rPr>
              <w:t>400</w:t>
            </w:r>
          </w:p>
        </w:tc>
      </w:tr>
    </w:tbl>
    <w:p w14:paraId="555C12D0" w14:textId="77777777" w:rsidR="00DC4BF9" w:rsidRPr="000E22BF" w:rsidRDefault="00DC4BF9" w:rsidP="00DC4BF9">
      <w:pPr>
        <w:spacing w:line="360" w:lineRule="auto"/>
        <w:jc w:val="center"/>
        <w:rPr>
          <w:b/>
          <w:sz w:val="20"/>
          <w:szCs w:val="20"/>
        </w:rPr>
      </w:pPr>
      <w:r w:rsidRPr="000E22BF">
        <w:rPr>
          <w:b/>
          <w:sz w:val="20"/>
          <w:szCs w:val="20"/>
        </w:rPr>
        <w:t>Table 2: Energy and cost estimation for extraction of TPC by different extraction techniques.</w:t>
      </w:r>
    </w:p>
    <w:tbl>
      <w:tblPr>
        <w:tblStyle w:val="TableGrid"/>
        <w:tblW w:w="6760" w:type="dxa"/>
        <w:jc w:val="center"/>
        <w:tblLook w:val="04A0" w:firstRow="1" w:lastRow="0" w:firstColumn="1" w:lastColumn="0" w:noHBand="0" w:noVBand="1"/>
      </w:tblPr>
      <w:tblGrid>
        <w:gridCol w:w="2333"/>
        <w:gridCol w:w="2126"/>
        <w:gridCol w:w="2301"/>
      </w:tblGrid>
      <w:tr w:rsidR="00DC4BF9" w:rsidRPr="000E22BF" w14:paraId="38E8DB74" w14:textId="77777777" w:rsidTr="005B599E">
        <w:trPr>
          <w:trHeight w:val="375"/>
          <w:jc w:val="center"/>
        </w:trPr>
        <w:tc>
          <w:tcPr>
            <w:tcW w:w="2333" w:type="dxa"/>
            <w:noWrap/>
            <w:hideMark/>
          </w:tcPr>
          <w:p w14:paraId="484A994B" w14:textId="77777777" w:rsidR="00DC4BF9" w:rsidRPr="000E22BF" w:rsidRDefault="00DC4BF9" w:rsidP="005B599E">
            <w:pPr>
              <w:spacing w:line="360" w:lineRule="auto"/>
              <w:jc w:val="both"/>
              <w:rPr>
                <w:b/>
                <w:bCs/>
                <w:sz w:val="20"/>
                <w:szCs w:val="20"/>
              </w:rPr>
            </w:pPr>
          </w:p>
        </w:tc>
        <w:tc>
          <w:tcPr>
            <w:tcW w:w="2126" w:type="dxa"/>
            <w:noWrap/>
            <w:hideMark/>
          </w:tcPr>
          <w:p w14:paraId="70E7A304" w14:textId="77777777" w:rsidR="00DC4BF9" w:rsidRPr="000E22BF" w:rsidRDefault="00DC4BF9" w:rsidP="005B599E">
            <w:pPr>
              <w:spacing w:line="360" w:lineRule="auto"/>
              <w:jc w:val="center"/>
              <w:rPr>
                <w:b/>
                <w:bCs/>
                <w:sz w:val="20"/>
                <w:szCs w:val="20"/>
              </w:rPr>
            </w:pPr>
            <w:r w:rsidRPr="000E22BF">
              <w:rPr>
                <w:b/>
                <w:bCs/>
                <w:sz w:val="20"/>
                <w:szCs w:val="20"/>
              </w:rPr>
              <w:t>Energy (10</w:t>
            </w:r>
            <w:r w:rsidRPr="000E22BF">
              <w:rPr>
                <w:b/>
                <w:bCs/>
                <w:sz w:val="20"/>
                <w:szCs w:val="20"/>
                <w:vertAlign w:val="superscript"/>
              </w:rPr>
              <w:t xml:space="preserve">4 </w:t>
            </w:r>
            <w:r w:rsidRPr="000E22BF">
              <w:rPr>
                <w:b/>
                <w:bCs/>
                <w:sz w:val="20"/>
                <w:szCs w:val="20"/>
              </w:rPr>
              <w:t>kJ/kg)</w:t>
            </w:r>
          </w:p>
        </w:tc>
        <w:tc>
          <w:tcPr>
            <w:tcW w:w="2301" w:type="dxa"/>
            <w:noWrap/>
            <w:hideMark/>
          </w:tcPr>
          <w:p w14:paraId="0165C951" w14:textId="77777777" w:rsidR="00DC4BF9" w:rsidRPr="000E22BF" w:rsidRDefault="00DC4BF9" w:rsidP="005B599E">
            <w:pPr>
              <w:spacing w:line="360" w:lineRule="auto"/>
              <w:jc w:val="both"/>
              <w:rPr>
                <w:b/>
                <w:bCs/>
                <w:sz w:val="20"/>
                <w:szCs w:val="20"/>
              </w:rPr>
            </w:pPr>
            <w:r w:rsidRPr="000E22BF">
              <w:rPr>
                <w:b/>
                <w:bCs/>
                <w:sz w:val="20"/>
                <w:szCs w:val="20"/>
              </w:rPr>
              <w:t>Cost of process (Rs/kg)</w:t>
            </w:r>
          </w:p>
        </w:tc>
      </w:tr>
      <w:tr w:rsidR="00DC4BF9" w:rsidRPr="000E22BF" w14:paraId="1F9A046C" w14:textId="77777777" w:rsidTr="005B599E">
        <w:trPr>
          <w:trHeight w:val="300"/>
          <w:jc w:val="center"/>
        </w:trPr>
        <w:tc>
          <w:tcPr>
            <w:tcW w:w="2333" w:type="dxa"/>
            <w:noWrap/>
            <w:hideMark/>
          </w:tcPr>
          <w:p w14:paraId="5837BF5E" w14:textId="77777777" w:rsidR="00DC4BF9" w:rsidRPr="000E22BF" w:rsidRDefault="00DC4BF9" w:rsidP="005B599E">
            <w:pPr>
              <w:spacing w:line="360" w:lineRule="auto"/>
              <w:jc w:val="both"/>
              <w:rPr>
                <w:b/>
                <w:bCs/>
                <w:sz w:val="20"/>
                <w:szCs w:val="20"/>
              </w:rPr>
            </w:pPr>
            <w:r w:rsidRPr="000E22BF">
              <w:rPr>
                <w:b/>
                <w:bCs/>
                <w:sz w:val="20"/>
                <w:szCs w:val="20"/>
              </w:rPr>
              <w:t>Soxhlet</w:t>
            </w:r>
          </w:p>
        </w:tc>
        <w:tc>
          <w:tcPr>
            <w:tcW w:w="2126" w:type="dxa"/>
            <w:noWrap/>
            <w:hideMark/>
          </w:tcPr>
          <w:p w14:paraId="6DB5505D" w14:textId="77777777" w:rsidR="00DC4BF9" w:rsidRPr="000E22BF" w:rsidRDefault="00DC4BF9" w:rsidP="005B599E">
            <w:pPr>
              <w:spacing w:line="360" w:lineRule="auto"/>
              <w:jc w:val="both"/>
              <w:rPr>
                <w:sz w:val="20"/>
                <w:szCs w:val="20"/>
              </w:rPr>
            </w:pPr>
            <w:r w:rsidRPr="000E22BF">
              <w:rPr>
                <w:sz w:val="20"/>
                <w:szCs w:val="20"/>
              </w:rPr>
              <w:t>454.86</w:t>
            </w:r>
          </w:p>
        </w:tc>
        <w:tc>
          <w:tcPr>
            <w:tcW w:w="2301" w:type="dxa"/>
            <w:noWrap/>
            <w:hideMark/>
          </w:tcPr>
          <w:p w14:paraId="5FD8EA1B" w14:textId="77777777" w:rsidR="00DC4BF9" w:rsidRPr="000E22BF" w:rsidRDefault="00DC4BF9" w:rsidP="005B599E">
            <w:pPr>
              <w:spacing w:line="360" w:lineRule="auto"/>
              <w:jc w:val="both"/>
              <w:rPr>
                <w:sz w:val="20"/>
                <w:szCs w:val="20"/>
              </w:rPr>
            </w:pPr>
            <w:r w:rsidRPr="000E22BF">
              <w:rPr>
                <w:sz w:val="20"/>
                <w:szCs w:val="20"/>
              </w:rPr>
              <w:t>110935</w:t>
            </w:r>
          </w:p>
        </w:tc>
      </w:tr>
      <w:tr w:rsidR="00DC4BF9" w:rsidRPr="000E22BF" w14:paraId="223424CA" w14:textId="77777777" w:rsidTr="005B599E">
        <w:trPr>
          <w:trHeight w:val="300"/>
          <w:jc w:val="center"/>
        </w:trPr>
        <w:tc>
          <w:tcPr>
            <w:tcW w:w="2333" w:type="dxa"/>
            <w:noWrap/>
            <w:hideMark/>
          </w:tcPr>
          <w:p w14:paraId="72A86B50" w14:textId="77777777" w:rsidR="00DC4BF9" w:rsidRPr="000E22BF" w:rsidRDefault="00DC4BF9" w:rsidP="005B599E">
            <w:pPr>
              <w:spacing w:line="360" w:lineRule="auto"/>
              <w:jc w:val="both"/>
              <w:rPr>
                <w:b/>
                <w:bCs/>
                <w:sz w:val="20"/>
                <w:szCs w:val="20"/>
              </w:rPr>
            </w:pPr>
            <w:r w:rsidRPr="000E22BF">
              <w:rPr>
                <w:b/>
                <w:bCs/>
                <w:sz w:val="20"/>
                <w:szCs w:val="20"/>
              </w:rPr>
              <w:t>Stirred batch extraction</w:t>
            </w:r>
          </w:p>
        </w:tc>
        <w:tc>
          <w:tcPr>
            <w:tcW w:w="2126" w:type="dxa"/>
            <w:noWrap/>
            <w:hideMark/>
          </w:tcPr>
          <w:p w14:paraId="4229D23A" w14:textId="77777777" w:rsidR="00DC4BF9" w:rsidRPr="000E22BF" w:rsidRDefault="00DC4BF9" w:rsidP="005B599E">
            <w:pPr>
              <w:spacing w:line="360" w:lineRule="auto"/>
              <w:jc w:val="both"/>
              <w:rPr>
                <w:sz w:val="20"/>
                <w:szCs w:val="20"/>
              </w:rPr>
            </w:pPr>
            <w:r w:rsidRPr="000E22BF">
              <w:rPr>
                <w:sz w:val="20"/>
                <w:szCs w:val="20"/>
              </w:rPr>
              <w:t>8.85</w:t>
            </w:r>
          </w:p>
        </w:tc>
        <w:tc>
          <w:tcPr>
            <w:tcW w:w="2301" w:type="dxa"/>
            <w:noWrap/>
            <w:hideMark/>
          </w:tcPr>
          <w:p w14:paraId="5972BFC7" w14:textId="77777777" w:rsidR="00DC4BF9" w:rsidRPr="000E22BF" w:rsidRDefault="00DC4BF9" w:rsidP="005B599E">
            <w:pPr>
              <w:spacing w:line="360" w:lineRule="auto"/>
              <w:jc w:val="both"/>
              <w:rPr>
                <w:sz w:val="20"/>
                <w:szCs w:val="20"/>
              </w:rPr>
            </w:pPr>
            <w:r w:rsidRPr="000E22BF">
              <w:rPr>
                <w:sz w:val="20"/>
                <w:szCs w:val="20"/>
              </w:rPr>
              <w:t>215.85</w:t>
            </w:r>
          </w:p>
        </w:tc>
      </w:tr>
    </w:tbl>
    <w:p w14:paraId="457417A6" w14:textId="77777777" w:rsidR="00DC4BF9" w:rsidRDefault="00DC4BF9" w:rsidP="00DC4BF9">
      <w:pPr>
        <w:spacing w:line="360" w:lineRule="auto"/>
        <w:jc w:val="both"/>
      </w:pPr>
    </w:p>
    <w:p w14:paraId="11BC12F9" w14:textId="77777777" w:rsidR="00DC4BF9" w:rsidRDefault="00DC4BF9" w:rsidP="00DC4BF9">
      <w:pPr>
        <w:pStyle w:val="BodyText"/>
        <w:rPr>
          <w:b/>
          <w:sz w:val="22"/>
        </w:rPr>
      </w:pPr>
    </w:p>
    <w:p w14:paraId="7730A1DC" w14:textId="77777777" w:rsidR="00DC4BF9" w:rsidRDefault="00DC4BF9" w:rsidP="00DC4BF9">
      <w:pPr>
        <w:spacing w:before="146"/>
        <w:ind w:left="964" w:right="964"/>
        <w:jc w:val="center"/>
        <w:rPr>
          <w:b/>
          <w:sz w:val="20"/>
        </w:rPr>
      </w:pPr>
      <w:r>
        <w:rPr>
          <w:noProof/>
        </w:rPr>
        <w:lastRenderedPageBreak/>
        <w:drawing>
          <wp:inline distT="0" distB="0" distL="0" distR="0" wp14:anchorId="69387771" wp14:editId="364B0F34">
            <wp:extent cx="4597879" cy="3234906"/>
            <wp:effectExtent l="0" t="0" r="12700" b="3810"/>
            <wp:docPr id="1" name="Chart 1">
              <a:extLst xmlns:a="http://schemas.openxmlformats.org/drawingml/2006/main">
                <a:ext uri="{FF2B5EF4-FFF2-40B4-BE49-F238E27FC236}">
                  <a16:creationId xmlns:a16="http://schemas.microsoft.com/office/drawing/2014/main" id="{0538604D-008E-47A0-A28F-11056A9A4B1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FBE7919" w14:textId="77777777" w:rsidR="00DC4BF9" w:rsidRPr="00833525" w:rsidRDefault="00DC4BF9" w:rsidP="00DC4BF9">
      <w:pPr>
        <w:spacing w:before="146"/>
        <w:ind w:left="216"/>
        <w:jc w:val="center"/>
        <w:rPr>
          <w:b/>
          <w:sz w:val="20"/>
        </w:rPr>
      </w:pPr>
      <w:r>
        <w:rPr>
          <w:b/>
          <w:sz w:val="20"/>
        </w:rPr>
        <w:t>Figure</w:t>
      </w:r>
      <w:r>
        <w:rPr>
          <w:b/>
          <w:spacing w:val="-3"/>
          <w:sz w:val="20"/>
        </w:rPr>
        <w:t xml:space="preserve"> </w:t>
      </w:r>
      <w:r>
        <w:rPr>
          <w:b/>
          <w:sz w:val="20"/>
        </w:rPr>
        <w:t>1</w:t>
      </w:r>
      <w:r>
        <w:rPr>
          <w:sz w:val="20"/>
        </w:rPr>
        <w:t>:</w:t>
      </w:r>
      <w:r>
        <w:rPr>
          <w:spacing w:val="-3"/>
          <w:sz w:val="20"/>
        </w:rPr>
        <w:t xml:space="preserve"> </w:t>
      </w:r>
      <w:r w:rsidRPr="00833525">
        <w:rPr>
          <w:b/>
          <w:sz w:val="20"/>
        </w:rPr>
        <w:t>Effect of solvents on the kinetics of batch extraction of TPC from SA powder at solid to solvent ratio 1:30; extracting temperature, 50C; the speed of agitation of 400 rpm and extracting time, 30 min and Peleg’s model fitting.</w:t>
      </w:r>
    </w:p>
    <w:p w14:paraId="3C924A0A" w14:textId="77777777" w:rsidR="00572039" w:rsidRDefault="00572039" w:rsidP="00DD788C">
      <w:pPr>
        <w:pStyle w:val="BodyText"/>
        <w:spacing w:before="111" w:line="360" w:lineRule="auto"/>
        <w:ind w:left="144" w:right="142"/>
      </w:pPr>
    </w:p>
    <w:p w14:paraId="2CD9E8D9" w14:textId="77777777" w:rsidR="00572039" w:rsidRDefault="00572039" w:rsidP="00572039">
      <w:pPr>
        <w:pStyle w:val="Heading2"/>
        <w:numPr>
          <w:ilvl w:val="0"/>
          <w:numId w:val="2"/>
        </w:numPr>
        <w:tabs>
          <w:tab w:val="left" w:pos="347"/>
        </w:tabs>
        <w:spacing w:before="1"/>
      </w:pPr>
      <w:r>
        <w:rPr>
          <w:spacing w:val="-2"/>
        </w:rPr>
        <w:t>Conclusions:</w:t>
      </w:r>
    </w:p>
    <w:p w14:paraId="3EC698E2" w14:textId="77777777" w:rsidR="00572039" w:rsidRPr="00942CD9" w:rsidRDefault="00572039" w:rsidP="00572039">
      <w:pPr>
        <w:pStyle w:val="BodyText"/>
        <w:spacing w:before="108" w:line="360" w:lineRule="auto"/>
        <w:ind w:left="144"/>
        <w:rPr>
          <w:bCs/>
          <w:lang w:val="en-IN"/>
        </w:rPr>
      </w:pPr>
      <w:r w:rsidRPr="00942CD9">
        <w:rPr>
          <w:lang w:val="en-IN"/>
        </w:rPr>
        <w:t>The work performed to check out whether the extraction of TPC from Spilanthes Acmella is feasible by batch extraction technique and results obtained in terms of the extraction yield of TPC, has shown promising results. The process parameters which affect the ultrasound-assisted extraction yield like extraction time, solid</w:t>
      </w:r>
      <w:r>
        <w:rPr>
          <w:lang w:val="en-IN"/>
        </w:rPr>
        <w:t>-to-</w:t>
      </w:r>
      <w:r w:rsidRPr="00942CD9">
        <w:rPr>
          <w:lang w:val="en-IN"/>
        </w:rPr>
        <w:t>solvent ratio, extraction temperature, speed of agitation</w:t>
      </w:r>
      <w:r>
        <w:rPr>
          <w:lang w:val="en-IN"/>
        </w:rPr>
        <w:t>,</w:t>
      </w:r>
      <w:r w:rsidRPr="00942CD9">
        <w:rPr>
          <w:lang w:val="en-IN"/>
        </w:rPr>
        <w:t xml:space="preserve"> and pH have been optimized. The higher TPC yield of 18.52 mg/g (solvent used water, solid/solvent ratio of 1:30, temperature of 50◦C, agitation speed 400 rpm</w:t>
      </w:r>
      <w:r>
        <w:rPr>
          <w:lang w:val="en-IN"/>
        </w:rPr>
        <w:t>,</w:t>
      </w:r>
      <w:r w:rsidRPr="00942CD9">
        <w:rPr>
          <w:lang w:val="en-IN"/>
        </w:rPr>
        <w:t xml:space="preserve"> and pH of 5) is obtained in just 15 min indicating that the batch technique can be used for extraction TPC from Spilanthes Acmella powder. The kinetic model (Peleg’s model) has been used for the prediction of </w:t>
      </w:r>
      <w:r>
        <w:rPr>
          <w:lang w:val="en-IN"/>
        </w:rPr>
        <w:t xml:space="preserve">the </w:t>
      </w:r>
      <w:r w:rsidRPr="00942CD9">
        <w:rPr>
          <w:lang w:val="en-IN"/>
        </w:rPr>
        <w:t xml:space="preserve">amount of TPC in the extract at </w:t>
      </w:r>
      <w:r>
        <w:rPr>
          <w:lang w:val="en-IN"/>
        </w:rPr>
        <w:t xml:space="preserve">a </w:t>
      </w:r>
      <w:r w:rsidRPr="00942CD9">
        <w:rPr>
          <w:lang w:val="en-IN"/>
        </w:rPr>
        <w:t xml:space="preserve">given time for all experimental conditions. The model is validated by plotting experimental and predicted values of </w:t>
      </w:r>
      <w:r>
        <w:rPr>
          <w:lang w:val="en-IN"/>
        </w:rPr>
        <w:t xml:space="preserve">the </w:t>
      </w:r>
      <w:r w:rsidRPr="00942CD9">
        <w:rPr>
          <w:lang w:val="en-IN"/>
        </w:rPr>
        <w:t xml:space="preserve">amount of TPC in </w:t>
      </w:r>
      <w:r>
        <w:rPr>
          <w:lang w:val="en-IN"/>
        </w:rPr>
        <w:t xml:space="preserve">an </w:t>
      </w:r>
      <w:r w:rsidRPr="00942CD9">
        <w:rPr>
          <w:lang w:val="en-IN"/>
        </w:rPr>
        <w:t xml:space="preserve">extract with good agreement. </w:t>
      </w:r>
    </w:p>
    <w:p w14:paraId="66B01F88" w14:textId="4F03037E" w:rsidR="009347FC" w:rsidRPr="009347FC" w:rsidRDefault="002B47FA" w:rsidP="009347FC">
      <w:pPr>
        <w:pStyle w:val="BodyText"/>
        <w:spacing w:before="111" w:line="360" w:lineRule="auto"/>
        <w:ind w:right="142"/>
      </w:pPr>
      <w:r>
        <w:rPr>
          <w:b/>
        </w:rPr>
        <w:t>R</w:t>
      </w:r>
      <w:r w:rsidR="009347FC" w:rsidRPr="009347FC">
        <w:rPr>
          <w:b/>
        </w:rPr>
        <w:t xml:space="preserve">eferences </w:t>
      </w:r>
    </w:p>
    <w:p w14:paraId="4AEBE1CD" w14:textId="0627751C" w:rsidR="009F1E88" w:rsidRPr="009F1E88" w:rsidRDefault="009F1E88" w:rsidP="009F1E88">
      <w:pPr>
        <w:adjustRightInd w:val="0"/>
        <w:spacing w:before="120" w:line="360" w:lineRule="auto"/>
        <w:ind w:left="640" w:hanging="640"/>
        <w:rPr>
          <w:noProof/>
          <w:sz w:val="20"/>
          <w:szCs w:val="24"/>
        </w:rPr>
      </w:pPr>
      <w:r>
        <w:fldChar w:fldCharType="begin" w:fldLock="1"/>
      </w:r>
      <w:r>
        <w:instrText xml:space="preserve">ADDIN Mendeley Bibliography CSL_BIBLIOGRAPHY </w:instrText>
      </w:r>
      <w:r>
        <w:fldChar w:fldCharType="separate"/>
      </w:r>
      <w:r w:rsidRPr="009F1E88">
        <w:rPr>
          <w:noProof/>
          <w:sz w:val="20"/>
          <w:szCs w:val="24"/>
        </w:rPr>
        <w:t>[1]</w:t>
      </w:r>
      <w:r w:rsidRPr="009F1E88">
        <w:rPr>
          <w:noProof/>
          <w:sz w:val="20"/>
          <w:szCs w:val="24"/>
        </w:rPr>
        <w:tab/>
        <w:t>V. Pandey, V. Agrawal, Efficient micropropagation protocol of spilanthes acmella L. possessing strong antimalarial activity, Vitr. Cell. Dev. Biol. - Plant. 45 (2009) 491–499.</w:t>
      </w:r>
    </w:p>
    <w:p w14:paraId="56424439" w14:textId="32C477BB" w:rsidR="009F1E88" w:rsidRPr="009F1E88" w:rsidRDefault="009F1E88" w:rsidP="009F1E88">
      <w:pPr>
        <w:adjustRightInd w:val="0"/>
        <w:spacing w:before="120" w:line="360" w:lineRule="auto"/>
        <w:ind w:left="640" w:hanging="640"/>
        <w:rPr>
          <w:noProof/>
          <w:sz w:val="20"/>
          <w:szCs w:val="24"/>
        </w:rPr>
      </w:pPr>
      <w:r w:rsidRPr="009F1E88">
        <w:rPr>
          <w:noProof/>
          <w:sz w:val="20"/>
          <w:szCs w:val="24"/>
        </w:rPr>
        <w:t>[2]</w:t>
      </w:r>
      <w:r w:rsidRPr="009F1E88">
        <w:rPr>
          <w:noProof/>
          <w:sz w:val="20"/>
          <w:szCs w:val="24"/>
        </w:rPr>
        <w:tab/>
        <w:t>V.M. Kulkarni, V.K. Rathod, Extraction of mangiferin from Mangifera indica leaves using three phase partitioning coupled with ultrasound, Ind. Crops Prod. 52 (2014) 292–297.</w:t>
      </w:r>
    </w:p>
    <w:p w14:paraId="2BDCAB35" w14:textId="41A9C547" w:rsidR="00A02CDE" w:rsidRDefault="009F1E88" w:rsidP="002B47FA">
      <w:pPr>
        <w:adjustRightInd w:val="0"/>
        <w:spacing w:before="120" w:line="360" w:lineRule="auto"/>
        <w:ind w:left="640" w:hanging="640"/>
        <w:rPr>
          <w:sz w:val="30"/>
        </w:rPr>
      </w:pPr>
      <w:r w:rsidRPr="009F1E88">
        <w:rPr>
          <w:noProof/>
          <w:sz w:val="20"/>
          <w:szCs w:val="24"/>
        </w:rPr>
        <w:t>[3]</w:t>
      </w:r>
      <w:r w:rsidRPr="009F1E88">
        <w:rPr>
          <w:noProof/>
          <w:sz w:val="20"/>
          <w:szCs w:val="24"/>
        </w:rPr>
        <w:tab/>
        <w:t xml:space="preserve">M.D. Vetal, V.G. Lade, V.K. Rathod, Extraction of ursolic acid from Ocimum sanctum by ultrasound: Process intensification and kinetic studies, Chem. Eng. Process. Process Intensif. (2013). </w:t>
      </w:r>
      <w:r>
        <w:fldChar w:fldCharType="end"/>
      </w:r>
    </w:p>
    <w:sectPr w:rsidR="00A02CDE">
      <w:headerReference w:type="default" r:id="rId10"/>
      <w:footerReference w:type="default" r:id="rId11"/>
      <w:pgSz w:w="12240" w:h="15840"/>
      <w:pgMar w:top="1060" w:right="820" w:bottom="1360" w:left="820" w:header="498" w:footer="11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C405FF" w14:textId="77777777" w:rsidR="00FF6F01" w:rsidRDefault="00FF6F01">
      <w:r>
        <w:separator/>
      </w:r>
    </w:p>
  </w:endnote>
  <w:endnote w:type="continuationSeparator" w:id="0">
    <w:p w14:paraId="6BA73468" w14:textId="77777777" w:rsidR="00FF6F01" w:rsidRDefault="00FF6F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EDCEFC" w14:textId="77777777" w:rsidR="00A02CDE" w:rsidRDefault="00FF6F01">
    <w:pPr>
      <w:pStyle w:val="BodyText"/>
      <w:spacing w:line="14" w:lineRule="auto"/>
    </w:pPr>
    <w:r>
      <w:pict w14:anchorId="23F11559">
        <v:shapetype id="_x0000_t202" coordsize="21600,21600" o:spt="202" path="m,l,21600r21600,l21600,xe">
          <v:stroke joinstyle="miter"/>
          <v:path gradientshapeok="t" o:connecttype="rect"/>
        </v:shapetype>
        <v:shape id="docshape2" o:spid="_x0000_s2049" type="#_x0000_t202" style="position:absolute;margin-left:300.55pt;margin-top:722.8pt;width:12.05pt;height:12pt;z-index:-15833600;mso-position-horizontal-relative:page;mso-position-vertical-relative:page" filled="f" stroked="f">
          <v:textbox style="mso-next-textbox:#docshape2" inset="0,0,0,0">
            <w:txbxContent>
              <w:p w14:paraId="4E6AAA34" w14:textId="77777777" w:rsidR="00A02CDE" w:rsidRDefault="002249C8">
                <w:pPr>
                  <w:pStyle w:val="BodyText"/>
                  <w:spacing w:line="223" w:lineRule="exact"/>
                  <w:ind w:left="60"/>
                  <w:rPr>
                    <w:rFonts w:ascii="Calibri"/>
                  </w:rPr>
                </w:pPr>
                <w:r>
                  <w:rPr>
                    <w:rFonts w:ascii="Calibri"/>
                    <w:w w:val="99"/>
                  </w:rPr>
                  <w:fldChar w:fldCharType="begin"/>
                </w:r>
                <w:r>
                  <w:rPr>
                    <w:rFonts w:ascii="Calibri"/>
                    <w:w w:val="99"/>
                  </w:rPr>
                  <w:instrText xml:space="preserve"> PAGE </w:instrText>
                </w:r>
                <w:r>
                  <w:rPr>
                    <w:rFonts w:ascii="Calibri"/>
                    <w:w w:val="99"/>
                  </w:rPr>
                  <w:fldChar w:fldCharType="separate"/>
                </w:r>
                <w:r w:rsidR="00C46F1D">
                  <w:rPr>
                    <w:rFonts w:ascii="Calibri"/>
                    <w:noProof/>
                    <w:w w:val="99"/>
                  </w:rPr>
                  <w:t>2</w:t>
                </w:r>
                <w:r>
                  <w:rPr>
                    <w:rFonts w:ascii="Calibri"/>
                    <w:w w:val="99"/>
                  </w:rP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AA90E2" w14:textId="77777777" w:rsidR="00FF6F01" w:rsidRDefault="00FF6F01">
      <w:r>
        <w:separator/>
      </w:r>
    </w:p>
  </w:footnote>
  <w:footnote w:type="continuationSeparator" w:id="0">
    <w:p w14:paraId="1C7D9205" w14:textId="77777777" w:rsidR="00FF6F01" w:rsidRDefault="00FF6F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8EEBAC" w14:textId="77777777" w:rsidR="00A02CDE" w:rsidRDefault="00FF6F01">
    <w:pPr>
      <w:pStyle w:val="BodyText"/>
      <w:spacing w:line="14" w:lineRule="auto"/>
    </w:pPr>
    <w:r>
      <w:pict w14:anchorId="504FE42B">
        <v:shapetype id="_x0000_t202" coordsize="21600,21600" o:spt="202" path="m,l,21600r21600,l21600,xe">
          <v:stroke joinstyle="miter"/>
          <v:path gradientshapeok="t" o:connecttype="rect"/>
        </v:shapetype>
        <v:shape id="docshape1" o:spid="_x0000_s2050" type="#_x0000_t202" style="position:absolute;margin-left:101.75pt;margin-top:20.8pt;width:405.5pt;height:33.9pt;z-index:-15834112;mso-position-horizontal-relative:page;mso-position-vertical-relative:page" filled="f" stroked="f">
          <v:textbox style="mso-next-textbox:#docshape1" inset="0,0,0,0">
            <w:txbxContent>
              <w:p w14:paraId="36CBA4F6" w14:textId="77777777" w:rsidR="00A02CDE" w:rsidRDefault="002249C8">
                <w:pPr>
                  <w:spacing w:before="6"/>
                  <w:ind w:left="35" w:right="36"/>
                  <w:jc w:val="center"/>
                  <w:rPr>
                    <w:b/>
                    <w:sz w:val="32"/>
                  </w:rPr>
                </w:pPr>
                <w:proofErr w:type="spellStart"/>
                <w:r>
                  <w:rPr>
                    <w:b/>
                    <w:sz w:val="32"/>
                  </w:rPr>
                  <w:t>SusChemE</w:t>
                </w:r>
                <w:proofErr w:type="spellEnd"/>
                <w:r>
                  <w:rPr>
                    <w:b/>
                    <w:spacing w:val="-16"/>
                    <w:sz w:val="32"/>
                  </w:rPr>
                  <w:t xml:space="preserve"> </w:t>
                </w:r>
                <w:r>
                  <w:rPr>
                    <w:b/>
                    <w:spacing w:val="-4"/>
                    <w:sz w:val="32"/>
                  </w:rPr>
                  <w:t>2023</w:t>
                </w:r>
              </w:p>
              <w:p w14:paraId="3D8448A9" w14:textId="77777777" w:rsidR="00A02CDE" w:rsidRDefault="002249C8">
                <w:pPr>
                  <w:spacing w:before="7"/>
                  <w:ind w:left="36" w:right="36"/>
                  <w:jc w:val="center"/>
                  <w:rPr>
                    <w:b/>
                    <w:sz w:val="24"/>
                  </w:rPr>
                </w:pPr>
                <w:r>
                  <w:rPr>
                    <w:b/>
                    <w:sz w:val="24"/>
                  </w:rPr>
                  <w:t>International</w:t>
                </w:r>
                <w:r>
                  <w:rPr>
                    <w:b/>
                    <w:spacing w:val="-8"/>
                    <w:sz w:val="24"/>
                  </w:rPr>
                  <w:t xml:space="preserve"> </w:t>
                </w:r>
                <w:r>
                  <w:rPr>
                    <w:b/>
                    <w:sz w:val="24"/>
                  </w:rPr>
                  <w:t>Conference,</w:t>
                </w:r>
                <w:r>
                  <w:rPr>
                    <w:b/>
                    <w:spacing w:val="-8"/>
                    <w:sz w:val="24"/>
                  </w:rPr>
                  <w:t xml:space="preserve"> </w:t>
                </w:r>
                <w:r>
                  <w:rPr>
                    <w:b/>
                    <w:sz w:val="24"/>
                  </w:rPr>
                  <w:t>Exhibition</w:t>
                </w:r>
                <w:r>
                  <w:rPr>
                    <w:b/>
                    <w:spacing w:val="-6"/>
                    <w:sz w:val="24"/>
                  </w:rPr>
                  <w:t xml:space="preserve"> </w:t>
                </w:r>
                <w:r>
                  <w:rPr>
                    <w:b/>
                    <w:sz w:val="24"/>
                  </w:rPr>
                  <w:t>on</w:t>
                </w:r>
                <w:r>
                  <w:rPr>
                    <w:b/>
                    <w:spacing w:val="-6"/>
                    <w:sz w:val="24"/>
                  </w:rPr>
                  <w:t xml:space="preserve"> </w:t>
                </w:r>
                <w:r>
                  <w:rPr>
                    <w:b/>
                    <w:sz w:val="24"/>
                  </w:rPr>
                  <w:t>Sustainable</w:t>
                </w:r>
                <w:r>
                  <w:rPr>
                    <w:b/>
                    <w:spacing w:val="-7"/>
                    <w:sz w:val="24"/>
                  </w:rPr>
                  <w:t xml:space="preserve"> </w:t>
                </w:r>
                <w:r>
                  <w:rPr>
                    <w:b/>
                    <w:sz w:val="24"/>
                  </w:rPr>
                  <w:t>Chemistry</w:t>
                </w:r>
                <w:r>
                  <w:rPr>
                    <w:b/>
                    <w:spacing w:val="-7"/>
                    <w:sz w:val="24"/>
                  </w:rPr>
                  <w:t xml:space="preserve"> </w:t>
                </w:r>
                <w:r>
                  <w:rPr>
                    <w:b/>
                    <w:sz w:val="24"/>
                  </w:rPr>
                  <w:t>&amp;</w:t>
                </w:r>
                <w:r>
                  <w:rPr>
                    <w:b/>
                    <w:spacing w:val="-7"/>
                    <w:sz w:val="24"/>
                  </w:rPr>
                  <w:t xml:space="preserve"> </w:t>
                </w:r>
                <w:r>
                  <w:rPr>
                    <w:b/>
                    <w:spacing w:val="-2"/>
                    <w:sz w:val="24"/>
                  </w:rPr>
                  <w:t>Engineering</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530016"/>
    <w:multiLevelType w:val="hybridMultilevel"/>
    <w:tmpl w:val="155848AE"/>
    <w:lvl w:ilvl="0" w:tplc="BADAB4BE">
      <w:start w:val="2"/>
      <w:numFmt w:val="decimal"/>
      <w:lvlText w:val="[%1]"/>
      <w:lvlJc w:val="left"/>
      <w:pPr>
        <w:ind w:left="505" w:hanging="361"/>
      </w:pPr>
      <w:rPr>
        <w:rFonts w:ascii="Times New Roman" w:eastAsia="Times New Roman" w:hAnsi="Times New Roman" w:cs="Times New Roman" w:hint="default"/>
        <w:b w:val="0"/>
        <w:bCs w:val="0"/>
        <w:i w:val="0"/>
        <w:iCs w:val="0"/>
        <w:spacing w:val="-2"/>
        <w:w w:val="99"/>
        <w:sz w:val="18"/>
        <w:szCs w:val="18"/>
      </w:rPr>
    </w:lvl>
    <w:lvl w:ilvl="1" w:tplc="94CCD1DE">
      <w:numFmt w:val="bullet"/>
      <w:lvlText w:val="•"/>
      <w:lvlJc w:val="left"/>
      <w:pPr>
        <w:ind w:left="1510" w:hanging="361"/>
      </w:pPr>
      <w:rPr>
        <w:rFonts w:hint="default"/>
      </w:rPr>
    </w:lvl>
    <w:lvl w:ilvl="2" w:tplc="B296D3CE">
      <w:numFmt w:val="bullet"/>
      <w:lvlText w:val="•"/>
      <w:lvlJc w:val="left"/>
      <w:pPr>
        <w:ind w:left="2520" w:hanging="361"/>
      </w:pPr>
      <w:rPr>
        <w:rFonts w:hint="default"/>
      </w:rPr>
    </w:lvl>
    <w:lvl w:ilvl="3" w:tplc="21BCA2F2">
      <w:numFmt w:val="bullet"/>
      <w:lvlText w:val="•"/>
      <w:lvlJc w:val="left"/>
      <w:pPr>
        <w:ind w:left="3530" w:hanging="361"/>
      </w:pPr>
      <w:rPr>
        <w:rFonts w:hint="default"/>
      </w:rPr>
    </w:lvl>
    <w:lvl w:ilvl="4" w:tplc="9716BECA">
      <w:numFmt w:val="bullet"/>
      <w:lvlText w:val="•"/>
      <w:lvlJc w:val="left"/>
      <w:pPr>
        <w:ind w:left="4540" w:hanging="361"/>
      </w:pPr>
      <w:rPr>
        <w:rFonts w:hint="default"/>
      </w:rPr>
    </w:lvl>
    <w:lvl w:ilvl="5" w:tplc="CDD61CD0">
      <w:numFmt w:val="bullet"/>
      <w:lvlText w:val="•"/>
      <w:lvlJc w:val="left"/>
      <w:pPr>
        <w:ind w:left="5550" w:hanging="361"/>
      </w:pPr>
      <w:rPr>
        <w:rFonts w:hint="default"/>
      </w:rPr>
    </w:lvl>
    <w:lvl w:ilvl="6" w:tplc="ABB6F30E">
      <w:numFmt w:val="bullet"/>
      <w:lvlText w:val="•"/>
      <w:lvlJc w:val="left"/>
      <w:pPr>
        <w:ind w:left="6560" w:hanging="361"/>
      </w:pPr>
      <w:rPr>
        <w:rFonts w:hint="default"/>
      </w:rPr>
    </w:lvl>
    <w:lvl w:ilvl="7" w:tplc="F2ECF3B0">
      <w:numFmt w:val="bullet"/>
      <w:lvlText w:val="•"/>
      <w:lvlJc w:val="left"/>
      <w:pPr>
        <w:ind w:left="7570" w:hanging="361"/>
      </w:pPr>
      <w:rPr>
        <w:rFonts w:hint="default"/>
      </w:rPr>
    </w:lvl>
    <w:lvl w:ilvl="8" w:tplc="6E9CC266">
      <w:numFmt w:val="bullet"/>
      <w:lvlText w:val="•"/>
      <w:lvlJc w:val="left"/>
      <w:pPr>
        <w:ind w:left="8580" w:hanging="361"/>
      </w:pPr>
      <w:rPr>
        <w:rFonts w:hint="default"/>
      </w:rPr>
    </w:lvl>
  </w:abstractNum>
  <w:abstractNum w:abstractNumId="1" w15:restartNumberingAfterBreak="0">
    <w:nsid w:val="33A91813"/>
    <w:multiLevelType w:val="multilevel"/>
    <w:tmpl w:val="7084FA42"/>
    <w:lvl w:ilvl="0">
      <w:start w:val="1"/>
      <w:numFmt w:val="decimal"/>
      <w:lvlText w:val="%1."/>
      <w:lvlJc w:val="left"/>
      <w:pPr>
        <w:ind w:left="345" w:hanging="201"/>
      </w:pPr>
      <w:rPr>
        <w:rFonts w:ascii="Times New Roman" w:eastAsia="Times New Roman" w:hAnsi="Times New Roman" w:cs="Times New Roman" w:hint="default"/>
        <w:b/>
        <w:bCs/>
        <w:i w:val="0"/>
        <w:iCs w:val="0"/>
        <w:spacing w:val="0"/>
        <w:w w:val="99"/>
        <w:sz w:val="20"/>
        <w:szCs w:val="20"/>
      </w:rPr>
    </w:lvl>
    <w:lvl w:ilvl="1">
      <w:start w:val="1"/>
      <w:numFmt w:val="decimal"/>
      <w:lvlText w:val="%1.%2"/>
      <w:lvlJc w:val="left"/>
      <w:pPr>
        <w:ind w:left="446" w:hanging="302"/>
      </w:pPr>
      <w:rPr>
        <w:rFonts w:ascii="Times New Roman" w:eastAsia="Times New Roman" w:hAnsi="Times New Roman" w:cs="Times New Roman" w:hint="default"/>
        <w:b w:val="0"/>
        <w:bCs w:val="0"/>
        <w:i/>
        <w:iCs/>
        <w:spacing w:val="0"/>
        <w:w w:val="99"/>
        <w:sz w:val="20"/>
        <w:szCs w:val="20"/>
      </w:rPr>
    </w:lvl>
    <w:lvl w:ilvl="2">
      <w:numFmt w:val="bullet"/>
      <w:lvlText w:val=""/>
      <w:lvlJc w:val="left"/>
      <w:pPr>
        <w:ind w:left="649" w:hanging="216"/>
      </w:pPr>
      <w:rPr>
        <w:rFonts w:ascii="Symbol" w:eastAsia="Symbol" w:hAnsi="Symbol" w:cs="Symbol" w:hint="default"/>
        <w:b w:val="0"/>
        <w:bCs w:val="0"/>
        <w:i w:val="0"/>
        <w:iCs w:val="0"/>
        <w:w w:val="100"/>
        <w:sz w:val="16"/>
        <w:szCs w:val="16"/>
      </w:rPr>
    </w:lvl>
    <w:lvl w:ilvl="3">
      <w:numFmt w:val="bullet"/>
      <w:lvlText w:val="•"/>
      <w:lvlJc w:val="left"/>
      <w:pPr>
        <w:ind w:left="1885" w:hanging="216"/>
      </w:pPr>
      <w:rPr>
        <w:rFonts w:hint="default"/>
      </w:rPr>
    </w:lvl>
    <w:lvl w:ilvl="4">
      <w:numFmt w:val="bullet"/>
      <w:lvlText w:val="•"/>
      <w:lvlJc w:val="left"/>
      <w:pPr>
        <w:ind w:left="3130" w:hanging="216"/>
      </w:pPr>
      <w:rPr>
        <w:rFonts w:hint="default"/>
      </w:rPr>
    </w:lvl>
    <w:lvl w:ilvl="5">
      <w:numFmt w:val="bullet"/>
      <w:lvlText w:val="•"/>
      <w:lvlJc w:val="left"/>
      <w:pPr>
        <w:ind w:left="4375" w:hanging="216"/>
      </w:pPr>
      <w:rPr>
        <w:rFonts w:hint="default"/>
      </w:rPr>
    </w:lvl>
    <w:lvl w:ilvl="6">
      <w:numFmt w:val="bullet"/>
      <w:lvlText w:val="•"/>
      <w:lvlJc w:val="left"/>
      <w:pPr>
        <w:ind w:left="5620" w:hanging="216"/>
      </w:pPr>
      <w:rPr>
        <w:rFonts w:hint="default"/>
      </w:rPr>
    </w:lvl>
    <w:lvl w:ilvl="7">
      <w:numFmt w:val="bullet"/>
      <w:lvlText w:val="•"/>
      <w:lvlJc w:val="left"/>
      <w:pPr>
        <w:ind w:left="6865" w:hanging="216"/>
      </w:pPr>
      <w:rPr>
        <w:rFonts w:hint="default"/>
      </w:rPr>
    </w:lvl>
    <w:lvl w:ilvl="8">
      <w:numFmt w:val="bullet"/>
      <w:lvlText w:val="•"/>
      <w:lvlJc w:val="left"/>
      <w:pPr>
        <w:ind w:left="8110" w:hanging="216"/>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docVars>
    <w:docVar w:name="__Grammarly_42____i" w:val="H4sIAAAAAAAEAKtWckksSQxILCpxzi/NK1GyMqwFAAEhoTITAAAA"/>
    <w:docVar w:name="__Grammarly_42___1" w:val="H4sIAAAAAAAEAKtWcslP9kxRslIyNDY2NjewMDOyMDIxNzE1sTRV0lEKTi0uzszPAykwrAUAk78sdCwAAAA="/>
  </w:docVars>
  <w:rsids>
    <w:rsidRoot w:val="00A02CDE"/>
    <w:rsid w:val="0001361F"/>
    <w:rsid w:val="0009774B"/>
    <w:rsid w:val="000A65E4"/>
    <w:rsid w:val="000C506D"/>
    <w:rsid w:val="000E22BF"/>
    <w:rsid w:val="00171AEE"/>
    <w:rsid w:val="00177445"/>
    <w:rsid w:val="001B40C9"/>
    <w:rsid w:val="00204E7E"/>
    <w:rsid w:val="00223A2A"/>
    <w:rsid w:val="002249C8"/>
    <w:rsid w:val="00246D37"/>
    <w:rsid w:val="00287B61"/>
    <w:rsid w:val="002A27D0"/>
    <w:rsid w:val="002B47FA"/>
    <w:rsid w:val="002B6C49"/>
    <w:rsid w:val="002F1B29"/>
    <w:rsid w:val="003B3054"/>
    <w:rsid w:val="003E02BB"/>
    <w:rsid w:val="004B3ECB"/>
    <w:rsid w:val="004B6C7D"/>
    <w:rsid w:val="004E74D6"/>
    <w:rsid w:val="00516CAC"/>
    <w:rsid w:val="00572039"/>
    <w:rsid w:val="005C7A10"/>
    <w:rsid w:val="006A1E53"/>
    <w:rsid w:val="00756890"/>
    <w:rsid w:val="007B7663"/>
    <w:rsid w:val="007D4385"/>
    <w:rsid w:val="007E70D7"/>
    <w:rsid w:val="00833525"/>
    <w:rsid w:val="0087647D"/>
    <w:rsid w:val="008B087C"/>
    <w:rsid w:val="008C30E1"/>
    <w:rsid w:val="009347FC"/>
    <w:rsid w:val="00942CD9"/>
    <w:rsid w:val="00947F9F"/>
    <w:rsid w:val="009C4845"/>
    <w:rsid w:val="009F1E88"/>
    <w:rsid w:val="00A02CDE"/>
    <w:rsid w:val="00A718B8"/>
    <w:rsid w:val="00BC3C1E"/>
    <w:rsid w:val="00C46F1D"/>
    <w:rsid w:val="00C53EE8"/>
    <w:rsid w:val="00C676E4"/>
    <w:rsid w:val="00DC4BF9"/>
    <w:rsid w:val="00DD788C"/>
    <w:rsid w:val="00E1619A"/>
    <w:rsid w:val="00F4228F"/>
    <w:rsid w:val="00F50CAA"/>
    <w:rsid w:val="00F819CF"/>
    <w:rsid w:val="00FF6F01"/>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20A3CB0B"/>
  <w15:docId w15:val="{FA3A7A0A-2571-48C3-8520-EFB656A83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C4BF9"/>
    <w:rPr>
      <w:rFonts w:ascii="Times New Roman" w:eastAsia="Times New Roman" w:hAnsi="Times New Roman" w:cs="Times New Roman"/>
    </w:rPr>
  </w:style>
  <w:style w:type="paragraph" w:styleId="Heading1">
    <w:name w:val="heading 1"/>
    <w:basedOn w:val="Normal"/>
    <w:uiPriority w:val="1"/>
    <w:qFormat/>
    <w:pPr>
      <w:ind w:left="4"/>
      <w:jc w:val="center"/>
      <w:outlineLvl w:val="0"/>
    </w:pPr>
    <w:rPr>
      <w:u w:val="single" w:color="000000"/>
    </w:rPr>
  </w:style>
  <w:style w:type="paragraph" w:styleId="Heading2">
    <w:name w:val="heading 2"/>
    <w:basedOn w:val="Normal"/>
    <w:link w:val="Heading2Char"/>
    <w:uiPriority w:val="1"/>
    <w:qFormat/>
    <w:pPr>
      <w:spacing w:before="4"/>
      <w:ind w:left="346" w:hanging="203"/>
      <w:jc w:val="both"/>
      <w:outlineLvl w:val="1"/>
    </w:pPr>
    <w:rPr>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0"/>
      <w:szCs w:val="20"/>
    </w:rPr>
  </w:style>
  <w:style w:type="paragraph" w:styleId="Title">
    <w:name w:val="Title"/>
    <w:basedOn w:val="Normal"/>
    <w:uiPriority w:val="1"/>
    <w:qFormat/>
    <w:pPr>
      <w:spacing w:before="6"/>
      <w:ind w:left="35" w:right="36"/>
      <w:jc w:val="center"/>
    </w:pPr>
    <w:rPr>
      <w:b/>
      <w:bCs/>
      <w:sz w:val="32"/>
      <w:szCs w:val="32"/>
    </w:rPr>
  </w:style>
  <w:style w:type="paragraph" w:styleId="ListParagraph">
    <w:name w:val="List Paragraph"/>
    <w:basedOn w:val="Normal"/>
    <w:uiPriority w:val="1"/>
    <w:qFormat/>
    <w:pPr>
      <w:spacing w:before="4"/>
      <w:ind w:left="446" w:hanging="303"/>
    </w:pPr>
  </w:style>
  <w:style w:type="paragraph" w:customStyle="1" w:styleId="TableParagraph">
    <w:name w:val="Table Paragraph"/>
    <w:basedOn w:val="Normal"/>
    <w:uiPriority w:val="1"/>
    <w:qFormat/>
    <w:pPr>
      <w:ind w:left="105"/>
    </w:pPr>
  </w:style>
  <w:style w:type="paragraph" w:styleId="Header">
    <w:name w:val="header"/>
    <w:basedOn w:val="Normal"/>
    <w:link w:val="HeaderChar"/>
    <w:uiPriority w:val="99"/>
    <w:unhideWhenUsed/>
    <w:rsid w:val="00C46F1D"/>
    <w:pPr>
      <w:tabs>
        <w:tab w:val="center" w:pos="4513"/>
        <w:tab w:val="right" w:pos="9026"/>
      </w:tabs>
    </w:pPr>
  </w:style>
  <w:style w:type="character" w:customStyle="1" w:styleId="HeaderChar">
    <w:name w:val="Header Char"/>
    <w:basedOn w:val="DefaultParagraphFont"/>
    <w:link w:val="Header"/>
    <w:uiPriority w:val="99"/>
    <w:rsid w:val="00C46F1D"/>
    <w:rPr>
      <w:rFonts w:ascii="Times New Roman" w:eastAsia="Times New Roman" w:hAnsi="Times New Roman" w:cs="Times New Roman"/>
    </w:rPr>
  </w:style>
  <w:style w:type="paragraph" w:styleId="Footer">
    <w:name w:val="footer"/>
    <w:basedOn w:val="Normal"/>
    <w:link w:val="FooterChar"/>
    <w:uiPriority w:val="99"/>
    <w:unhideWhenUsed/>
    <w:rsid w:val="00C46F1D"/>
    <w:pPr>
      <w:tabs>
        <w:tab w:val="center" w:pos="4513"/>
        <w:tab w:val="right" w:pos="9026"/>
      </w:tabs>
    </w:pPr>
  </w:style>
  <w:style w:type="character" w:customStyle="1" w:styleId="FooterChar">
    <w:name w:val="Footer Char"/>
    <w:basedOn w:val="DefaultParagraphFont"/>
    <w:link w:val="Footer"/>
    <w:uiPriority w:val="99"/>
    <w:rsid w:val="00C46F1D"/>
    <w:rPr>
      <w:rFonts w:ascii="Times New Roman" w:eastAsia="Times New Roman" w:hAnsi="Times New Roman" w:cs="Times New Roman"/>
    </w:rPr>
  </w:style>
  <w:style w:type="table" w:styleId="TableGrid">
    <w:name w:val="Table Grid"/>
    <w:basedOn w:val="TableNormal"/>
    <w:uiPriority w:val="39"/>
    <w:rsid w:val="007D43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1"/>
    <w:rsid w:val="00171AEE"/>
    <w:rPr>
      <w:rFonts w:ascii="Times New Roman" w:eastAsia="Times New Roman" w:hAnsi="Times New Roman" w:cs="Times New Roman"/>
      <w:b/>
      <w:bCs/>
      <w:sz w:val="20"/>
      <w:szCs w:val="20"/>
    </w:rPr>
  </w:style>
  <w:style w:type="character" w:customStyle="1" w:styleId="BodyTextChar">
    <w:name w:val="Body Text Char"/>
    <w:basedOn w:val="DefaultParagraphFont"/>
    <w:link w:val="BodyText"/>
    <w:uiPriority w:val="1"/>
    <w:rsid w:val="00DC4BF9"/>
    <w:rPr>
      <w:rFonts w:ascii="Times New Roman" w:eastAsia="Times New Roman" w:hAnsi="Times New Roman" w:cs="Times New Roman"/>
      <w:sz w:val="20"/>
      <w:szCs w:val="20"/>
    </w:rPr>
  </w:style>
  <w:style w:type="character" w:styleId="Hyperlink">
    <w:name w:val="Hyperlink"/>
    <w:basedOn w:val="DefaultParagraphFont"/>
    <w:uiPriority w:val="99"/>
    <w:unhideWhenUsed/>
    <w:rsid w:val="002B6C49"/>
    <w:rPr>
      <w:color w:val="0000FF" w:themeColor="hyperlink"/>
      <w:u w:val="single"/>
    </w:rPr>
  </w:style>
  <w:style w:type="character" w:styleId="UnresolvedMention">
    <w:name w:val="Unresolved Mention"/>
    <w:basedOn w:val="DefaultParagraphFont"/>
    <w:uiPriority w:val="99"/>
    <w:semiHidden/>
    <w:unhideWhenUsed/>
    <w:rsid w:val="002B6C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k.rathod@ictmumbai.edu.i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2" Type="http://schemas.openxmlformats.org/officeDocument/2006/relationships/oleObject" Target="NULL"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2273596327196011"/>
          <c:y val="4.7774277879488014E-2"/>
          <c:w val="0.80824650043744517"/>
          <c:h val="0.73444808982210552"/>
        </c:manualLayout>
      </c:layout>
      <c:scatterChart>
        <c:scatterStyle val="lineMarker"/>
        <c:varyColors val="0"/>
        <c:ser>
          <c:idx val="0"/>
          <c:order val="0"/>
          <c:tx>
            <c:v>Methanol</c:v>
          </c:tx>
          <c:spPr>
            <a:ln w="28575">
              <a:noFill/>
            </a:ln>
          </c:spPr>
          <c:xVal>
            <c:numRef>
              <c:f>'solvent selection'!$B$4:$B$13</c:f>
              <c:numCache>
                <c:formatCode>General</c:formatCode>
                <c:ptCount val="10"/>
                <c:pt idx="0">
                  <c:v>0</c:v>
                </c:pt>
                <c:pt idx="1">
                  <c:v>5</c:v>
                </c:pt>
                <c:pt idx="2">
                  <c:v>10</c:v>
                </c:pt>
                <c:pt idx="3">
                  <c:v>15</c:v>
                </c:pt>
                <c:pt idx="4">
                  <c:v>20</c:v>
                </c:pt>
                <c:pt idx="5">
                  <c:v>25</c:v>
                </c:pt>
                <c:pt idx="6">
                  <c:v>30</c:v>
                </c:pt>
              </c:numCache>
            </c:numRef>
          </c:xVal>
          <c:yVal>
            <c:numRef>
              <c:f>'solvent selection'!$C$4:$C$13</c:f>
              <c:numCache>
                <c:formatCode>General</c:formatCode>
                <c:ptCount val="10"/>
                <c:pt idx="0">
                  <c:v>0</c:v>
                </c:pt>
                <c:pt idx="1">
                  <c:v>10.119999999999999</c:v>
                </c:pt>
                <c:pt idx="2">
                  <c:v>15.21</c:v>
                </c:pt>
                <c:pt idx="3">
                  <c:v>18.100000000000001</c:v>
                </c:pt>
                <c:pt idx="4">
                  <c:v>19.559999999999999</c:v>
                </c:pt>
                <c:pt idx="5">
                  <c:v>20.2</c:v>
                </c:pt>
                <c:pt idx="6">
                  <c:v>20.78</c:v>
                </c:pt>
              </c:numCache>
            </c:numRef>
          </c:yVal>
          <c:smooth val="0"/>
          <c:extLst>
            <c:ext xmlns:c16="http://schemas.microsoft.com/office/drawing/2014/chart" uri="{C3380CC4-5D6E-409C-BE32-E72D297353CC}">
              <c16:uniqueId val="{00000000-F9F1-4F8D-B850-D272944AFBCF}"/>
            </c:ext>
          </c:extLst>
        </c:ser>
        <c:ser>
          <c:idx val="2"/>
          <c:order val="2"/>
          <c:tx>
            <c:v>Water</c:v>
          </c:tx>
          <c:spPr>
            <a:ln w="28575">
              <a:noFill/>
            </a:ln>
          </c:spPr>
          <c:xVal>
            <c:numRef>
              <c:f>'solvent selection'!$B$25:$B$34</c:f>
              <c:numCache>
                <c:formatCode>General</c:formatCode>
                <c:ptCount val="10"/>
                <c:pt idx="0">
                  <c:v>0</c:v>
                </c:pt>
                <c:pt idx="1">
                  <c:v>5</c:v>
                </c:pt>
                <c:pt idx="2">
                  <c:v>10</c:v>
                </c:pt>
                <c:pt idx="3">
                  <c:v>15</c:v>
                </c:pt>
                <c:pt idx="4">
                  <c:v>20</c:v>
                </c:pt>
                <c:pt idx="5">
                  <c:v>25</c:v>
                </c:pt>
                <c:pt idx="6">
                  <c:v>30</c:v>
                </c:pt>
              </c:numCache>
            </c:numRef>
          </c:xVal>
          <c:yVal>
            <c:numRef>
              <c:f>'solvent selection'!$C$25:$C$34</c:f>
              <c:numCache>
                <c:formatCode>General</c:formatCode>
                <c:ptCount val="10"/>
                <c:pt idx="0">
                  <c:v>0</c:v>
                </c:pt>
                <c:pt idx="1">
                  <c:v>8.61</c:v>
                </c:pt>
                <c:pt idx="2">
                  <c:v>12.61</c:v>
                </c:pt>
                <c:pt idx="3">
                  <c:v>14.88</c:v>
                </c:pt>
                <c:pt idx="4">
                  <c:v>16.55</c:v>
                </c:pt>
                <c:pt idx="5">
                  <c:v>17.98</c:v>
                </c:pt>
                <c:pt idx="6">
                  <c:v>18.399999999999999</c:v>
                </c:pt>
              </c:numCache>
            </c:numRef>
          </c:yVal>
          <c:smooth val="0"/>
          <c:extLst>
            <c:ext xmlns:c16="http://schemas.microsoft.com/office/drawing/2014/chart" uri="{C3380CC4-5D6E-409C-BE32-E72D297353CC}">
              <c16:uniqueId val="{00000001-F9F1-4F8D-B850-D272944AFBCF}"/>
            </c:ext>
          </c:extLst>
        </c:ser>
        <c:ser>
          <c:idx val="4"/>
          <c:order val="4"/>
          <c:tx>
            <c:v>Ethanol</c:v>
          </c:tx>
          <c:spPr>
            <a:ln w="28575">
              <a:noFill/>
            </a:ln>
          </c:spPr>
          <c:errBars>
            <c:errDir val="y"/>
            <c:errBarType val="both"/>
            <c:errValType val="percentage"/>
            <c:noEndCap val="0"/>
            <c:val val="5"/>
          </c:errBars>
          <c:xVal>
            <c:numRef>
              <c:f>'solvent selection'!$B$43:$B$52</c:f>
              <c:numCache>
                <c:formatCode>General</c:formatCode>
                <c:ptCount val="10"/>
                <c:pt idx="0">
                  <c:v>0</c:v>
                </c:pt>
                <c:pt idx="1">
                  <c:v>5</c:v>
                </c:pt>
                <c:pt idx="2">
                  <c:v>10</c:v>
                </c:pt>
                <c:pt idx="3">
                  <c:v>15</c:v>
                </c:pt>
                <c:pt idx="4">
                  <c:v>20</c:v>
                </c:pt>
                <c:pt idx="5">
                  <c:v>25</c:v>
                </c:pt>
                <c:pt idx="6">
                  <c:v>30</c:v>
                </c:pt>
              </c:numCache>
            </c:numRef>
          </c:xVal>
          <c:yVal>
            <c:numRef>
              <c:f>'solvent selection'!$C$43:$C$52</c:f>
              <c:numCache>
                <c:formatCode>General</c:formatCode>
                <c:ptCount val="10"/>
                <c:pt idx="0">
                  <c:v>0</c:v>
                </c:pt>
                <c:pt idx="1">
                  <c:v>10.119999999999999</c:v>
                </c:pt>
                <c:pt idx="2">
                  <c:v>12.45</c:v>
                </c:pt>
                <c:pt idx="3">
                  <c:v>14.18</c:v>
                </c:pt>
                <c:pt idx="4">
                  <c:v>14.81</c:v>
                </c:pt>
                <c:pt idx="5">
                  <c:v>15.22</c:v>
                </c:pt>
                <c:pt idx="6">
                  <c:v>15.45</c:v>
                </c:pt>
              </c:numCache>
            </c:numRef>
          </c:yVal>
          <c:smooth val="0"/>
          <c:extLst>
            <c:ext xmlns:c16="http://schemas.microsoft.com/office/drawing/2014/chart" uri="{C3380CC4-5D6E-409C-BE32-E72D297353CC}">
              <c16:uniqueId val="{00000002-F9F1-4F8D-B850-D272944AFBCF}"/>
            </c:ext>
          </c:extLst>
        </c:ser>
        <c:ser>
          <c:idx val="6"/>
          <c:order val="6"/>
          <c:tx>
            <c:v>Acetone</c:v>
          </c:tx>
          <c:spPr>
            <a:ln w="28575">
              <a:noFill/>
            </a:ln>
          </c:spPr>
          <c:xVal>
            <c:numRef>
              <c:f>'solvent selection'!$B$61:$B$70</c:f>
              <c:numCache>
                <c:formatCode>General</c:formatCode>
                <c:ptCount val="10"/>
                <c:pt idx="0">
                  <c:v>0</c:v>
                </c:pt>
                <c:pt idx="1">
                  <c:v>5</c:v>
                </c:pt>
                <c:pt idx="2">
                  <c:v>10</c:v>
                </c:pt>
                <c:pt idx="3">
                  <c:v>15</c:v>
                </c:pt>
                <c:pt idx="4">
                  <c:v>20</c:v>
                </c:pt>
                <c:pt idx="5">
                  <c:v>25</c:v>
                </c:pt>
                <c:pt idx="6">
                  <c:v>30</c:v>
                </c:pt>
              </c:numCache>
            </c:numRef>
          </c:xVal>
          <c:yVal>
            <c:numRef>
              <c:f>'solvent selection'!$C$61:$C$70</c:f>
              <c:numCache>
                <c:formatCode>General</c:formatCode>
                <c:ptCount val="10"/>
                <c:pt idx="0">
                  <c:v>0</c:v>
                </c:pt>
                <c:pt idx="1">
                  <c:v>12.23</c:v>
                </c:pt>
                <c:pt idx="2">
                  <c:v>13.42</c:v>
                </c:pt>
                <c:pt idx="3">
                  <c:v>14.71</c:v>
                </c:pt>
                <c:pt idx="4">
                  <c:v>14.83</c:v>
                </c:pt>
                <c:pt idx="5">
                  <c:v>15.32</c:v>
                </c:pt>
                <c:pt idx="6">
                  <c:v>15.74</c:v>
                </c:pt>
              </c:numCache>
            </c:numRef>
          </c:yVal>
          <c:smooth val="0"/>
          <c:extLst>
            <c:ext xmlns:c16="http://schemas.microsoft.com/office/drawing/2014/chart" uri="{C3380CC4-5D6E-409C-BE32-E72D297353CC}">
              <c16:uniqueId val="{00000003-F9F1-4F8D-B850-D272944AFBCF}"/>
            </c:ext>
          </c:extLst>
        </c:ser>
        <c:ser>
          <c:idx val="8"/>
          <c:order val="9"/>
          <c:tx>
            <c:v>n butanol</c:v>
          </c:tx>
          <c:spPr>
            <a:ln w="28575">
              <a:noFill/>
            </a:ln>
          </c:spPr>
          <c:xVal>
            <c:numRef>
              <c:f>'solvent selection'!$B$79:$B$88</c:f>
              <c:numCache>
                <c:formatCode>General</c:formatCode>
                <c:ptCount val="10"/>
                <c:pt idx="0">
                  <c:v>0</c:v>
                </c:pt>
                <c:pt idx="1">
                  <c:v>5</c:v>
                </c:pt>
                <c:pt idx="2">
                  <c:v>10</c:v>
                </c:pt>
                <c:pt idx="3">
                  <c:v>15</c:v>
                </c:pt>
                <c:pt idx="4">
                  <c:v>20</c:v>
                </c:pt>
                <c:pt idx="5">
                  <c:v>25</c:v>
                </c:pt>
                <c:pt idx="6">
                  <c:v>30</c:v>
                </c:pt>
              </c:numCache>
            </c:numRef>
          </c:xVal>
          <c:yVal>
            <c:numRef>
              <c:f>'solvent selection'!$C$79:$C$88</c:f>
              <c:numCache>
                <c:formatCode>General</c:formatCode>
                <c:ptCount val="10"/>
                <c:pt idx="0">
                  <c:v>0</c:v>
                </c:pt>
                <c:pt idx="1">
                  <c:v>7.12</c:v>
                </c:pt>
                <c:pt idx="2">
                  <c:v>8.0299999999999994</c:v>
                </c:pt>
                <c:pt idx="3">
                  <c:v>8.39</c:v>
                </c:pt>
                <c:pt idx="4">
                  <c:v>8.43</c:v>
                </c:pt>
                <c:pt idx="5">
                  <c:v>8.51</c:v>
                </c:pt>
                <c:pt idx="6">
                  <c:v>8.99</c:v>
                </c:pt>
              </c:numCache>
            </c:numRef>
          </c:yVal>
          <c:smooth val="0"/>
          <c:extLst>
            <c:ext xmlns:c16="http://schemas.microsoft.com/office/drawing/2014/chart" uri="{C3380CC4-5D6E-409C-BE32-E72D297353CC}">
              <c16:uniqueId val="{00000004-F9F1-4F8D-B850-D272944AFBCF}"/>
            </c:ext>
          </c:extLst>
        </c:ser>
        <c:dLbls>
          <c:showLegendKey val="0"/>
          <c:showVal val="0"/>
          <c:showCatName val="0"/>
          <c:showSerName val="0"/>
          <c:showPercent val="0"/>
          <c:showBubbleSize val="0"/>
        </c:dLbls>
        <c:axId val="139404800"/>
        <c:axId val="139406720"/>
        <c:extLst>
          <c:ext xmlns:c15="http://schemas.microsoft.com/office/drawing/2012/chart" uri="{02D57815-91ED-43cb-92C2-25804820EDAC}">
            <c15:filteredScatterSeries>
              <c15:ser>
                <c:idx val="10"/>
                <c:order val="10"/>
                <c:tx>
                  <c:v>1:40</c:v>
                </c:tx>
                <c:spPr>
                  <a:ln w="28575">
                    <a:noFill/>
                  </a:ln>
                </c:spPr>
                <c:errBars>
                  <c:errDir val="y"/>
                  <c:errBarType val="both"/>
                  <c:errValType val="percentage"/>
                  <c:noEndCap val="0"/>
                  <c:val val="5"/>
                </c:errBars>
                <c:xVal>
                  <c:numRef>
                    <c:extLst>
                      <c:ext uri="{02D57815-91ED-43cb-92C2-25804820EDAC}">
                        <c15:formulaRef>
                          <c15:sqref>'solvent selection'!$B$97:$B$106</c15:sqref>
                        </c15:formulaRef>
                      </c:ext>
                    </c:extLst>
                    <c:numCache>
                      <c:formatCode>General</c:formatCode>
                      <c:ptCount val="10"/>
                    </c:numCache>
                  </c:numRef>
                </c:xVal>
                <c:yVal>
                  <c:numRef>
                    <c:extLst>
                      <c:ext uri="{02D57815-91ED-43cb-92C2-25804820EDAC}">
                        <c15:formulaRef>
                          <c15:sqref>'solvent selection'!$C$97:$C$106</c15:sqref>
                        </c15:formulaRef>
                      </c:ext>
                    </c:extLst>
                    <c:numCache>
                      <c:formatCode>General</c:formatCode>
                      <c:ptCount val="10"/>
                    </c:numCache>
                  </c:numRef>
                </c:yVal>
                <c:smooth val="0"/>
                <c:extLst>
                  <c:ext xmlns:c16="http://schemas.microsoft.com/office/drawing/2014/chart" uri="{C3380CC4-5D6E-409C-BE32-E72D297353CC}">
                    <c16:uniqueId val="{0000000A-F9F1-4F8D-B850-D272944AFBCF}"/>
                  </c:ext>
                </c:extLst>
              </c15:ser>
            </c15:filteredScatterSeries>
          </c:ext>
        </c:extLst>
      </c:scatterChart>
      <c:scatterChart>
        <c:scatterStyle val="smoothMarker"/>
        <c:varyColors val="0"/>
        <c:ser>
          <c:idx val="1"/>
          <c:order val="1"/>
          <c:tx>
            <c:v>Peleg's Model</c:v>
          </c:tx>
          <c:spPr>
            <a:ln w="12700"/>
          </c:spPr>
          <c:marker>
            <c:symbol val="none"/>
          </c:marker>
          <c:errBars>
            <c:errDir val="y"/>
            <c:errBarType val="both"/>
            <c:errValType val="percentage"/>
            <c:noEndCap val="0"/>
            <c:val val="5"/>
          </c:errBars>
          <c:xVal>
            <c:numRef>
              <c:f>'solvent selection'!$B$4:$B$13</c:f>
              <c:numCache>
                <c:formatCode>General</c:formatCode>
                <c:ptCount val="10"/>
                <c:pt idx="0">
                  <c:v>0</c:v>
                </c:pt>
                <c:pt idx="1">
                  <c:v>5</c:v>
                </c:pt>
                <c:pt idx="2">
                  <c:v>10</c:v>
                </c:pt>
                <c:pt idx="3">
                  <c:v>15</c:v>
                </c:pt>
                <c:pt idx="4">
                  <c:v>20</c:v>
                </c:pt>
                <c:pt idx="5">
                  <c:v>25</c:v>
                </c:pt>
                <c:pt idx="6">
                  <c:v>30</c:v>
                </c:pt>
              </c:numCache>
            </c:numRef>
          </c:xVal>
          <c:yVal>
            <c:numRef>
              <c:f>'solvent selection'!$F$4:$F$13</c:f>
              <c:numCache>
                <c:formatCode>General</c:formatCode>
                <c:ptCount val="10"/>
                <c:pt idx="0">
                  <c:v>0</c:v>
                </c:pt>
                <c:pt idx="1">
                  <c:v>10.210332856851133</c:v>
                </c:pt>
                <c:pt idx="2">
                  <c:v>14.909795735798419</c:v>
                </c:pt>
                <c:pt idx="3">
                  <c:v>17.611835153222966</c:v>
                </c:pt>
                <c:pt idx="4">
                  <c:v>19.366708627868693</c:v>
                </c:pt>
                <c:pt idx="5">
                  <c:v>20.598170882425642</c:v>
                </c:pt>
                <c:pt idx="6">
                  <c:v>21.510002151000215</c:v>
                </c:pt>
              </c:numCache>
            </c:numRef>
          </c:yVal>
          <c:smooth val="1"/>
          <c:extLst>
            <c:ext xmlns:c16="http://schemas.microsoft.com/office/drawing/2014/chart" uri="{C3380CC4-5D6E-409C-BE32-E72D297353CC}">
              <c16:uniqueId val="{00000005-F9F1-4F8D-B850-D272944AFBCF}"/>
            </c:ext>
          </c:extLst>
        </c:ser>
        <c:ser>
          <c:idx val="3"/>
          <c:order val="3"/>
          <c:tx>
            <c:v>Peleg's model Water</c:v>
          </c:tx>
          <c:spPr>
            <a:ln w="12700"/>
          </c:spPr>
          <c:marker>
            <c:symbol val="none"/>
          </c:marker>
          <c:errBars>
            <c:errDir val="y"/>
            <c:errBarType val="both"/>
            <c:errValType val="percentage"/>
            <c:noEndCap val="0"/>
            <c:val val="5"/>
          </c:errBars>
          <c:xVal>
            <c:numRef>
              <c:f>'solvent selection'!$B$25:$B$34</c:f>
              <c:numCache>
                <c:formatCode>General</c:formatCode>
                <c:ptCount val="10"/>
                <c:pt idx="0">
                  <c:v>0</c:v>
                </c:pt>
                <c:pt idx="1">
                  <c:v>5</c:v>
                </c:pt>
                <c:pt idx="2">
                  <c:v>10</c:v>
                </c:pt>
                <c:pt idx="3">
                  <c:v>15</c:v>
                </c:pt>
                <c:pt idx="4">
                  <c:v>20</c:v>
                </c:pt>
                <c:pt idx="5">
                  <c:v>25</c:v>
                </c:pt>
                <c:pt idx="6">
                  <c:v>30</c:v>
                </c:pt>
              </c:numCache>
            </c:numRef>
          </c:xVal>
          <c:yVal>
            <c:numRef>
              <c:f>'solvent selection'!$F$25:$F$34</c:f>
              <c:numCache>
                <c:formatCode>General</c:formatCode>
                <c:ptCount val="10"/>
                <c:pt idx="0">
                  <c:v>0</c:v>
                </c:pt>
                <c:pt idx="1">
                  <c:v>8.5940185630800965</c:v>
                </c:pt>
                <c:pt idx="2">
                  <c:v>12.653422750854105</c:v>
                </c:pt>
                <c:pt idx="3">
                  <c:v>15.018021625951141</c:v>
                </c:pt>
                <c:pt idx="4">
                  <c:v>16.565890830779423</c:v>
                </c:pt>
                <c:pt idx="5">
                  <c:v>17.657861279841786</c:v>
                </c:pt>
                <c:pt idx="6">
                  <c:v>18.469494551499107</c:v>
                </c:pt>
              </c:numCache>
            </c:numRef>
          </c:yVal>
          <c:smooth val="1"/>
          <c:extLst>
            <c:ext xmlns:c16="http://schemas.microsoft.com/office/drawing/2014/chart" uri="{C3380CC4-5D6E-409C-BE32-E72D297353CC}">
              <c16:uniqueId val="{00000006-F9F1-4F8D-B850-D272944AFBCF}"/>
            </c:ext>
          </c:extLst>
        </c:ser>
        <c:ser>
          <c:idx val="5"/>
          <c:order val="5"/>
          <c:tx>
            <c:v>Peleg's Model Ethanol</c:v>
          </c:tx>
          <c:spPr>
            <a:ln w="12700"/>
          </c:spPr>
          <c:marker>
            <c:symbol val="none"/>
          </c:marker>
          <c:xVal>
            <c:numRef>
              <c:f>'solvent selection'!$B$43:$B$52</c:f>
              <c:numCache>
                <c:formatCode>General</c:formatCode>
                <c:ptCount val="10"/>
                <c:pt idx="0">
                  <c:v>0</c:v>
                </c:pt>
                <c:pt idx="1">
                  <c:v>5</c:v>
                </c:pt>
                <c:pt idx="2">
                  <c:v>10</c:v>
                </c:pt>
                <c:pt idx="3">
                  <c:v>15</c:v>
                </c:pt>
                <c:pt idx="4">
                  <c:v>20</c:v>
                </c:pt>
                <c:pt idx="5">
                  <c:v>25</c:v>
                </c:pt>
                <c:pt idx="6">
                  <c:v>30</c:v>
                </c:pt>
              </c:numCache>
            </c:numRef>
          </c:xVal>
          <c:yVal>
            <c:numRef>
              <c:f>'solvent selection'!$F$43:$F$52</c:f>
              <c:numCache>
                <c:formatCode>General</c:formatCode>
                <c:ptCount val="10"/>
                <c:pt idx="0">
                  <c:v>0</c:v>
                </c:pt>
                <c:pt idx="1">
                  <c:v>10.070493454179255</c:v>
                </c:pt>
                <c:pt idx="2">
                  <c:v>12.755102040816327</c:v>
                </c:pt>
                <c:pt idx="3">
                  <c:v>13.99906672888474</c:v>
                </c:pt>
                <c:pt idx="4">
                  <c:v>14.716703458425311</c:v>
                </c:pt>
                <c:pt idx="5">
                  <c:v>15.183723048891588</c:v>
                </c:pt>
                <c:pt idx="6">
                  <c:v>15.511892450879007</c:v>
                </c:pt>
              </c:numCache>
            </c:numRef>
          </c:yVal>
          <c:smooth val="1"/>
          <c:extLst>
            <c:ext xmlns:c16="http://schemas.microsoft.com/office/drawing/2014/chart" uri="{C3380CC4-5D6E-409C-BE32-E72D297353CC}">
              <c16:uniqueId val="{00000007-F9F1-4F8D-B850-D272944AFBCF}"/>
            </c:ext>
          </c:extLst>
        </c:ser>
        <c:ser>
          <c:idx val="7"/>
          <c:order val="7"/>
          <c:tx>
            <c:v>Peleg's Model Acetone</c:v>
          </c:tx>
          <c:spPr>
            <a:ln w="12700"/>
          </c:spPr>
          <c:marker>
            <c:symbol val="none"/>
          </c:marker>
          <c:errBars>
            <c:errDir val="y"/>
            <c:errBarType val="both"/>
            <c:errValType val="percentage"/>
            <c:noEndCap val="0"/>
            <c:val val="5"/>
          </c:errBars>
          <c:xVal>
            <c:numRef>
              <c:f>'solvent selection'!$B$61:$B$70</c:f>
              <c:numCache>
                <c:formatCode>General</c:formatCode>
                <c:ptCount val="10"/>
                <c:pt idx="0">
                  <c:v>0</c:v>
                </c:pt>
                <c:pt idx="1">
                  <c:v>5</c:v>
                </c:pt>
                <c:pt idx="2">
                  <c:v>10</c:v>
                </c:pt>
                <c:pt idx="3">
                  <c:v>15</c:v>
                </c:pt>
                <c:pt idx="4">
                  <c:v>20</c:v>
                </c:pt>
                <c:pt idx="5">
                  <c:v>25</c:v>
                </c:pt>
                <c:pt idx="6">
                  <c:v>30</c:v>
                </c:pt>
              </c:numCache>
            </c:numRef>
          </c:xVal>
          <c:yVal>
            <c:numRef>
              <c:f>'solvent selection'!$F$61:$F$70</c:f>
              <c:numCache>
                <c:formatCode>General</c:formatCode>
                <c:ptCount val="10"/>
                <c:pt idx="0">
                  <c:v>0</c:v>
                </c:pt>
                <c:pt idx="1">
                  <c:v>12.08605269518975</c:v>
                </c:pt>
                <c:pt idx="2">
                  <c:v>13.875398917718883</c:v>
                </c:pt>
                <c:pt idx="3">
                  <c:v>14.595699133988516</c:v>
                </c:pt>
                <c:pt idx="4">
                  <c:v>14.984640743238181</c:v>
                </c:pt>
                <c:pt idx="5">
                  <c:v>15.228117195589936</c:v>
                </c:pt>
                <c:pt idx="6">
                  <c:v>15.394878637040076</c:v>
                </c:pt>
              </c:numCache>
            </c:numRef>
          </c:yVal>
          <c:smooth val="1"/>
          <c:extLst>
            <c:ext xmlns:c16="http://schemas.microsoft.com/office/drawing/2014/chart" uri="{C3380CC4-5D6E-409C-BE32-E72D297353CC}">
              <c16:uniqueId val="{00000008-F9F1-4F8D-B850-D272944AFBCF}"/>
            </c:ext>
          </c:extLst>
        </c:ser>
        <c:ser>
          <c:idx val="9"/>
          <c:order val="8"/>
          <c:spPr>
            <a:ln w="12700"/>
          </c:spPr>
          <c:marker>
            <c:symbol val="none"/>
          </c:marker>
          <c:errBars>
            <c:errDir val="y"/>
            <c:errBarType val="both"/>
            <c:errValType val="percentage"/>
            <c:noEndCap val="0"/>
            <c:val val="5"/>
          </c:errBars>
          <c:xVal>
            <c:numRef>
              <c:f>'solvent selection'!$B$79:$B$88</c:f>
              <c:numCache>
                <c:formatCode>General</c:formatCode>
                <c:ptCount val="10"/>
                <c:pt idx="0">
                  <c:v>0</c:v>
                </c:pt>
                <c:pt idx="1">
                  <c:v>5</c:v>
                </c:pt>
                <c:pt idx="2">
                  <c:v>10</c:v>
                </c:pt>
                <c:pt idx="3">
                  <c:v>15</c:v>
                </c:pt>
                <c:pt idx="4">
                  <c:v>20</c:v>
                </c:pt>
                <c:pt idx="5">
                  <c:v>25</c:v>
                </c:pt>
                <c:pt idx="6">
                  <c:v>30</c:v>
                </c:pt>
              </c:numCache>
            </c:numRef>
          </c:xVal>
          <c:yVal>
            <c:numRef>
              <c:f>'solvent selection'!$F$79:$F$88</c:f>
              <c:numCache>
                <c:formatCode>General</c:formatCode>
                <c:ptCount val="10"/>
                <c:pt idx="0">
                  <c:v>0</c:v>
                </c:pt>
                <c:pt idx="1">
                  <c:v>7.116424708226587</c:v>
                </c:pt>
                <c:pt idx="2">
                  <c:v>8.0121785113372326</c:v>
                </c:pt>
                <c:pt idx="3">
                  <c:v>8.363068688670829</c:v>
                </c:pt>
                <c:pt idx="4">
                  <c:v>8.5502971228250182</c:v>
                </c:pt>
                <c:pt idx="5">
                  <c:v>8.6667128891354093</c:v>
                </c:pt>
                <c:pt idx="6">
                  <c:v>8.7461006967726878</c:v>
                </c:pt>
              </c:numCache>
            </c:numRef>
          </c:yVal>
          <c:smooth val="1"/>
          <c:extLst>
            <c:ext xmlns:c16="http://schemas.microsoft.com/office/drawing/2014/chart" uri="{C3380CC4-5D6E-409C-BE32-E72D297353CC}">
              <c16:uniqueId val="{00000009-F9F1-4F8D-B850-D272944AFBCF}"/>
            </c:ext>
          </c:extLst>
        </c:ser>
        <c:dLbls>
          <c:showLegendKey val="0"/>
          <c:showVal val="0"/>
          <c:showCatName val="0"/>
          <c:showSerName val="0"/>
          <c:showPercent val="0"/>
          <c:showBubbleSize val="0"/>
        </c:dLbls>
        <c:axId val="139404800"/>
        <c:axId val="139406720"/>
        <c:extLst>
          <c:ext xmlns:c15="http://schemas.microsoft.com/office/drawing/2012/chart" uri="{02D57815-91ED-43cb-92C2-25804820EDAC}">
            <c15:filteredScatterSeries>
              <c15:ser>
                <c:idx val="11"/>
                <c:order val="11"/>
                <c:spPr>
                  <a:ln w="12700"/>
                </c:spPr>
                <c:marker>
                  <c:symbol val="none"/>
                </c:marker>
                <c:xVal>
                  <c:numRef>
                    <c:extLst>
                      <c:ext uri="{02D57815-91ED-43cb-92C2-25804820EDAC}">
                        <c15:formulaRef>
                          <c15:sqref>'solvent selection'!$B$97:$B$106</c15:sqref>
                        </c15:formulaRef>
                      </c:ext>
                    </c:extLst>
                    <c:numCache>
                      <c:formatCode>General</c:formatCode>
                      <c:ptCount val="10"/>
                    </c:numCache>
                  </c:numRef>
                </c:xVal>
                <c:yVal>
                  <c:numRef>
                    <c:extLst>
                      <c:ext uri="{02D57815-91ED-43cb-92C2-25804820EDAC}">
                        <c15:formulaRef>
                          <c15:sqref>'solvent selection'!$F$97:$F$106</c15:sqref>
                        </c15:formulaRef>
                      </c:ext>
                    </c:extLst>
                    <c:numCache>
                      <c:formatCode>General</c:formatCode>
                      <c:ptCount val="10"/>
                    </c:numCache>
                  </c:numRef>
                </c:yVal>
                <c:smooth val="1"/>
                <c:extLst>
                  <c:ext xmlns:c16="http://schemas.microsoft.com/office/drawing/2014/chart" uri="{C3380CC4-5D6E-409C-BE32-E72D297353CC}">
                    <c16:uniqueId val="{0000000B-F9F1-4F8D-B850-D272944AFBCF}"/>
                  </c:ext>
                </c:extLst>
              </c15:ser>
            </c15:filteredScatterSeries>
          </c:ext>
        </c:extLst>
      </c:scatterChart>
      <c:valAx>
        <c:axId val="139404800"/>
        <c:scaling>
          <c:orientation val="minMax"/>
        </c:scaling>
        <c:delete val="0"/>
        <c:axPos val="b"/>
        <c:title>
          <c:tx>
            <c:rich>
              <a:bodyPr/>
              <a:lstStyle/>
              <a:p>
                <a:pPr>
                  <a:defRPr/>
                </a:pPr>
                <a:r>
                  <a:rPr lang="en-US"/>
                  <a:t>Time (min)</a:t>
                </a:r>
              </a:p>
            </c:rich>
          </c:tx>
          <c:overlay val="0"/>
        </c:title>
        <c:numFmt formatCode="General" sourceLinked="1"/>
        <c:majorTickMark val="none"/>
        <c:minorTickMark val="none"/>
        <c:tickLblPos val="nextTo"/>
        <c:crossAx val="139406720"/>
        <c:crosses val="autoZero"/>
        <c:crossBetween val="midCat"/>
      </c:valAx>
      <c:valAx>
        <c:axId val="139406720"/>
        <c:scaling>
          <c:orientation val="minMax"/>
          <c:max val="20"/>
        </c:scaling>
        <c:delete val="0"/>
        <c:axPos val="l"/>
        <c:title>
          <c:tx>
            <c:rich>
              <a:bodyPr/>
              <a:lstStyle/>
              <a:p>
                <a:pPr>
                  <a:defRPr/>
                </a:pPr>
                <a:r>
                  <a:rPr lang="en-US"/>
                  <a:t>TPC (mg GAE/g of </a:t>
                </a:r>
                <a:r>
                  <a:rPr lang="en-US" sz="1000" b="1" i="0" u="none" strike="noStrike" kern="1200" baseline="0">
                    <a:solidFill>
                      <a:sysClr val="windowText" lastClr="000000"/>
                    </a:solidFill>
                    <a:latin typeface="Times New Roman" pitchFamily="18" charset="0"/>
                    <a:ea typeface="+mn-ea"/>
                    <a:cs typeface="Times New Roman" pitchFamily="18" charset="0"/>
                  </a:rPr>
                  <a:t>SA</a:t>
                </a:r>
                <a:r>
                  <a:rPr lang="en-US"/>
                  <a:t>)</a:t>
                </a:r>
              </a:p>
            </c:rich>
          </c:tx>
          <c:overlay val="0"/>
        </c:title>
        <c:numFmt formatCode="General" sourceLinked="1"/>
        <c:majorTickMark val="none"/>
        <c:minorTickMark val="none"/>
        <c:tickLblPos val="nextTo"/>
        <c:crossAx val="139404800"/>
        <c:crosses val="autoZero"/>
        <c:crossBetween val="midCat"/>
        <c:minorUnit val="1"/>
      </c:valAx>
    </c:plotArea>
    <c:legend>
      <c:legendPos val="r"/>
      <c:legendEntry>
        <c:idx val="6"/>
        <c:delete val="1"/>
      </c:legendEntry>
      <c:legendEntry>
        <c:idx val="7"/>
        <c:delete val="1"/>
      </c:legendEntry>
      <c:legendEntry>
        <c:idx val="8"/>
        <c:delete val="1"/>
      </c:legendEntry>
      <c:legendEntry>
        <c:idx val="9"/>
        <c:delete val="1"/>
      </c:legendEntry>
      <c:layout>
        <c:manualLayout>
          <c:xMode val="edge"/>
          <c:yMode val="edge"/>
          <c:x val="4.2985874225985002E-2"/>
          <c:y val="0.89783269623255868"/>
          <c:w val="0.91024294139404915"/>
          <c:h val="9.3135872066662018E-2"/>
        </c:manualLayout>
      </c:layout>
      <c:overlay val="0"/>
    </c:legend>
    <c:plotVisOnly val="1"/>
    <c:dispBlanksAs val="gap"/>
    <c:showDLblsOverMax val="0"/>
  </c:chart>
  <c:txPr>
    <a:bodyPr/>
    <a:lstStyle/>
    <a:p>
      <a:pPr>
        <a:defRPr>
          <a:latin typeface="Times New Roman" pitchFamily="18" charset="0"/>
          <a:cs typeface="Times New Roman" pitchFamily="18" charset="0"/>
        </a:defRPr>
      </a:pPr>
      <a:endParaRPr lang="en-US"/>
    </a:p>
  </c:txPr>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B795AD-78CE-410F-896C-2279DC7834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2247</Words>
  <Characters>12812</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Nitin Satao</dc:creator>
  <cp:lastModifiedBy>Nitin Satao</cp:lastModifiedBy>
  <cp:revision>2</cp:revision>
  <dcterms:created xsi:type="dcterms:W3CDTF">2023-08-21T15:30:00Z</dcterms:created>
  <dcterms:modified xsi:type="dcterms:W3CDTF">2023-08-21T15:30:00Z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2015-06-25T00:00:00Z</vt:filetime>
  </property>
  <property fmtid="{D5CDD505-2E9C-101B-9397-08002B2CF9AE}" pid="3" name="Creator">
    <vt:lpwstr>Microsoft® Word 2010</vt:lpwstr>
  </property>
  <property fmtid="{D5CDD505-2E9C-101B-9397-08002B2CF9AE}" pid="4" name="LastSaved">
    <vt:filetime>2023-06-06T00:00:00Z</vt:filetime>
  </property>
  <property fmtid="{D5CDD505-2E9C-101B-9397-08002B2CF9AE}" pid="5" name="GrammarlyDocumentId">
    <vt:lpwstr>553171ae9d3df844cc6412f9258c536b9dc0b9d2537123ea4aead59a1595a746</vt:lpwstr>
  </property>
  <property fmtid="{D5CDD505-2E9C-101B-9397-08002B2CF9AE}" pid="6" name="Mendeley Document_1">
    <vt:lpwstr>True</vt:lpwstr>
  </property>
  <property fmtid="{D5CDD505-2E9C-101B-9397-08002B2CF9AE}" pid="7" name="Mendeley Unique User Id_1">
    <vt:lpwstr>f7ce936a-7980-35e2-bf86-fdcb127b4e45</vt:lpwstr>
  </property>
  <property fmtid="{D5CDD505-2E9C-101B-9397-08002B2CF9AE}" pid="8" name="Mendeley Citation Style_1">
    <vt:lpwstr>http://www.zotero.org/styles/journal-of-catalysis</vt:lpwstr>
  </property>
  <property fmtid="{D5CDD505-2E9C-101B-9397-08002B2CF9AE}" pid="9" name="Mendeley Recent Style Id 0_1">
    <vt:lpwstr>http://www.zotero.org/styles/american-medical-association</vt:lpwstr>
  </property>
  <property fmtid="{D5CDD505-2E9C-101B-9397-08002B2CF9AE}" pid="10" name="Mendeley Recent Style Name 0_1">
    <vt:lpwstr>American Medical Association 11th edition</vt:lpwstr>
  </property>
  <property fmtid="{D5CDD505-2E9C-101B-9397-08002B2CF9AE}" pid="11" name="Mendeley Recent Style Id 1_1">
    <vt:lpwstr>http://www.zotero.org/styles/american-political-science-association</vt:lpwstr>
  </property>
  <property fmtid="{D5CDD505-2E9C-101B-9397-08002B2CF9AE}" pid="12" name="Mendeley Recent Style Name 1_1">
    <vt:lpwstr>American Political Science Association</vt:lpwstr>
  </property>
  <property fmtid="{D5CDD505-2E9C-101B-9397-08002B2CF9AE}" pid="13" name="Mendeley Recent Style Id 2_1">
    <vt:lpwstr>http://www.zotero.org/styles/american-sociological-association</vt:lpwstr>
  </property>
  <property fmtid="{D5CDD505-2E9C-101B-9397-08002B2CF9AE}" pid="14" name="Mendeley Recent Style Name 2_1">
    <vt:lpwstr>American Sociological Association 6th edition</vt:lpwstr>
  </property>
  <property fmtid="{D5CDD505-2E9C-101B-9397-08002B2CF9AE}" pid="15" name="Mendeley Recent Style Id 3_1">
    <vt:lpwstr>http://www.zotero.org/styles/chicago-author-date</vt:lpwstr>
  </property>
  <property fmtid="{D5CDD505-2E9C-101B-9397-08002B2CF9AE}" pid="16" name="Mendeley Recent Style Name 3_1">
    <vt:lpwstr>Chicago Manual of Style 17th edition (author-date)</vt:lpwstr>
  </property>
  <property fmtid="{D5CDD505-2E9C-101B-9397-08002B2CF9AE}" pid="17" name="Mendeley Recent Style Id 4_1">
    <vt:lpwstr>http://www.zotero.org/styles/harvard-cite-them-right</vt:lpwstr>
  </property>
  <property fmtid="{D5CDD505-2E9C-101B-9397-08002B2CF9AE}" pid="18" name="Mendeley Recent Style Name 4_1">
    <vt:lpwstr>Cite Them Right 12th edition - Harvard</vt:lpwstr>
  </property>
  <property fmtid="{D5CDD505-2E9C-101B-9397-08002B2CF9AE}" pid="19" name="Mendeley Recent Style Id 5_1">
    <vt:lpwstr>http://www.zotero.org/styles/ieee</vt:lpwstr>
  </property>
  <property fmtid="{D5CDD505-2E9C-101B-9397-08002B2CF9AE}" pid="20" name="Mendeley Recent Style Name 5_1">
    <vt:lpwstr>IEEE</vt:lpwstr>
  </property>
  <property fmtid="{D5CDD505-2E9C-101B-9397-08002B2CF9AE}" pid="21" name="Mendeley Recent Style Id 6_1">
    <vt:lpwstr>http://www.zotero.org/styles/journal-of-catalysis</vt:lpwstr>
  </property>
  <property fmtid="{D5CDD505-2E9C-101B-9397-08002B2CF9AE}" pid="22" name="Mendeley Recent Style Name 6_1">
    <vt:lpwstr>Journal of Catalysis</vt:lpwstr>
  </property>
  <property fmtid="{D5CDD505-2E9C-101B-9397-08002B2CF9AE}" pid="23" name="Mendeley Recent Style Id 7_1">
    <vt:lpwstr>http://www.zotero.org/styles/modern-humanities-research-association</vt:lpwstr>
  </property>
  <property fmtid="{D5CDD505-2E9C-101B-9397-08002B2CF9AE}" pid="24" name="Mendeley Recent Style Name 7_1">
    <vt:lpwstr>Modern Humanities Research Association 3rd edition (note with bibliography)</vt:lpwstr>
  </property>
  <property fmtid="{D5CDD505-2E9C-101B-9397-08002B2CF9AE}" pid="25" name="Mendeley Recent Style Id 8_1">
    <vt:lpwstr>http://www.zotero.org/styles/process-biochemistry</vt:lpwstr>
  </property>
  <property fmtid="{D5CDD505-2E9C-101B-9397-08002B2CF9AE}" pid="26" name="Mendeley Recent Style Name 8_1">
    <vt:lpwstr>Process Biochemistry</vt:lpwstr>
  </property>
  <property fmtid="{D5CDD505-2E9C-101B-9397-08002B2CF9AE}" pid="27" name="Mendeley Recent Style Id 9_1">
    <vt:lpwstr>http://www.zotero.org/styles/vancouver</vt:lpwstr>
  </property>
  <property fmtid="{D5CDD505-2E9C-101B-9397-08002B2CF9AE}" pid="28" name="Mendeley Recent Style Name 9_1">
    <vt:lpwstr>Vancouver</vt:lpwstr>
  </property>
</Properties>
</file>